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5D9D" w:rsidRDefault="00FB5D9D" w:rsidP="00FB5D9D">
      <w:pPr>
        <w:pStyle w:val="MDPI12title"/>
        <w:rPr>
          <w:lang w:val="en-GB"/>
        </w:rPr>
      </w:pPr>
      <w:r w:rsidRPr="00FB5D9D">
        <w:rPr>
          <w:lang w:val="en-GB"/>
        </w:rPr>
        <w:t xml:space="preserve">The magnetic behaviour of CoTPP supported on coinage metal surfaces in the presence of small molecules: a molecular cluster study of the surface </w:t>
      </w:r>
      <w:r w:rsidRPr="00FB5D9D">
        <w:rPr>
          <w:i/>
          <w:iCs/>
          <w:lang w:val="en-GB"/>
        </w:rPr>
        <w:t>trans</w:t>
      </w:r>
      <w:r w:rsidRPr="00FB5D9D">
        <w:rPr>
          <w:lang w:val="en-GB"/>
        </w:rPr>
        <w:t>-effect.</w:t>
      </w:r>
    </w:p>
    <w:p w:rsidR="00FB5D9D" w:rsidRPr="00FB5D9D" w:rsidRDefault="00FB5D9D" w:rsidP="00FB5D9D">
      <w:pPr>
        <w:pStyle w:val="MDPI13authornames"/>
        <w:rPr>
          <w:lang w:val="it-IT"/>
        </w:rPr>
      </w:pPr>
      <w:bookmarkStart w:id="0" w:name="_GoBack"/>
      <w:bookmarkEnd w:id="0"/>
      <w:r w:rsidRPr="00FB5D9D">
        <w:rPr>
          <w:lang w:val="it-IT"/>
        </w:rPr>
        <w:t>Silvia Carlotto</w:t>
      </w:r>
      <w:r w:rsidRPr="00FB5D9D">
        <w:rPr>
          <w:vertAlign w:val="superscript"/>
          <w:lang w:val="it-IT"/>
        </w:rPr>
        <w:t>1,2,</w:t>
      </w:r>
      <w:r w:rsidRPr="00FB5D9D">
        <w:rPr>
          <w:lang w:val="it-IT"/>
        </w:rPr>
        <w:t>* Iulia Cojocariu</w:t>
      </w:r>
      <w:r w:rsidRPr="00FB5D9D">
        <w:rPr>
          <w:vertAlign w:val="superscript"/>
          <w:lang w:val="it-IT"/>
        </w:rPr>
        <w:t>3</w:t>
      </w:r>
      <w:r w:rsidRPr="00FB5D9D">
        <w:rPr>
          <w:lang w:val="it-IT"/>
        </w:rPr>
        <w:t>, Vitaliy Feyer</w:t>
      </w:r>
      <w:r w:rsidRPr="00FB5D9D">
        <w:rPr>
          <w:vertAlign w:val="superscript"/>
          <w:lang w:val="it-IT"/>
        </w:rPr>
        <w:t>3</w:t>
      </w:r>
      <w:r>
        <w:rPr>
          <w:vertAlign w:val="superscript"/>
          <w:lang w:val="it-IT"/>
        </w:rPr>
        <w:t>,4</w:t>
      </w:r>
      <w:r w:rsidRPr="00FB5D9D">
        <w:rPr>
          <w:lang w:val="it-IT"/>
        </w:rPr>
        <w:t>, Luca Floreano</w:t>
      </w:r>
      <w:r>
        <w:rPr>
          <w:vertAlign w:val="superscript"/>
          <w:lang w:val="it-IT"/>
        </w:rPr>
        <w:t>5</w:t>
      </w:r>
      <w:r w:rsidRPr="00FB5D9D">
        <w:rPr>
          <w:lang w:val="it-IT"/>
        </w:rPr>
        <w:t xml:space="preserve"> and Maurizio Casarin</w:t>
      </w:r>
      <w:r w:rsidRPr="00FB5D9D">
        <w:rPr>
          <w:vertAlign w:val="superscript"/>
          <w:lang w:val="it-IT"/>
        </w:rPr>
        <w:t>1,2,</w:t>
      </w:r>
      <w:r w:rsidRPr="00FB5D9D">
        <w:rPr>
          <w:lang w:val="it-IT"/>
        </w:rPr>
        <w:t>*</w:t>
      </w:r>
    </w:p>
    <w:tbl>
      <w:tblPr>
        <w:tblpPr w:leftFromText="198" w:rightFromText="198" w:vertAnchor="page" w:horzAnchor="margin" w:tblpY="9286"/>
        <w:tblW w:w="2410" w:type="dxa"/>
        <w:tblLayout w:type="fixed"/>
        <w:tblCellMar>
          <w:left w:w="0" w:type="dxa"/>
          <w:right w:w="0" w:type="dxa"/>
        </w:tblCellMar>
        <w:tblLook w:val="04A0" w:firstRow="1" w:lastRow="0" w:firstColumn="1" w:lastColumn="0" w:noHBand="0" w:noVBand="1"/>
      </w:tblPr>
      <w:tblGrid>
        <w:gridCol w:w="2410"/>
      </w:tblGrid>
      <w:tr w:rsidR="00FB5D9D" w:rsidRPr="00FB5D9D" w:rsidTr="00A22666">
        <w:tc>
          <w:tcPr>
            <w:tcW w:w="2410" w:type="dxa"/>
            <w:shd w:val="clear" w:color="auto" w:fill="auto"/>
          </w:tcPr>
          <w:p w:rsidR="00FB5D9D" w:rsidRPr="00FB5D9D" w:rsidRDefault="00FB5D9D" w:rsidP="00A22666">
            <w:pPr>
              <w:widowControl w:val="0"/>
              <w:snapToGrid w:val="0"/>
              <w:spacing w:before="60" w:line="240" w:lineRule="atLeast"/>
              <w:ind w:right="113"/>
              <w:rPr>
                <w:rFonts w:eastAsia="DengXian"/>
                <w:bCs/>
                <w:sz w:val="14"/>
                <w:szCs w:val="14"/>
                <w:lang w:val="en-GB" w:bidi="en-US"/>
              </w:rPr>
            </w:pPr>
          </w:p>
        </w:tc>
      </w:tr>
    </w:tbl>
    <w:p w:rsidR="00FB5D9D" w:rsidRPr="00FB5D9D" w:rsidRDefault="00FB5D9D" w:rsidP="00FB5D9D">
      <w:pPr>
        <w:pStyle w:val="MDPI16affiliation"/>
        <w:numPr>
          <w:ilvl w:val="0"/>
          <w:numId w:val="6"/>
        </w:numPr>
        <w:jc w:val="both"/>
        <w:rPr>
          <w:lang w:val="it-IT"/>
        </w:rPr>
      </w:pPr>
      <w:r w:rsidRPr="00FB5D9D">
        <w:rPr>
          <w:lang w:val="it-IT"/>
        </w:rPr>
        <w:t>Dipartimento di Scienze Chimiche, Università degli Studi di Padova, Via Francesco Marzolo 1, 35131 Padova - Italy.</w:t>
      </w:r>
    </w:p>
    <w:p w:rsidR="00FB5D9D" w:rsidRPr="00FB5D9D" w:rsidRDefault="00FB5D9D" w:rsidP="00FB5D9D">
      <w:pPr>
        <w:pStyle w:val="MDPI16affiliation"/>
        <w:numPr>
          <w:ilvl w:val="0"/>
          <w:numId w:val="6"/>
        </w:numPr>
        <w:jc w:val="both"/>
        <w:rPr>
          <w:lang w:val="it-IT"/>
        </w:rPr>
      </w:pPr>
      <w:r w:rsidRPr="00FB5D9D">
        <w:rPr>
          <w:lang w:val="it-IT"/>
        </w:rPr>
        <w:t>CNR – ICMATE, Via Francesco Marzolo 1, 35131 Padova – Italy</w:t>
      </w:r>
    </w:p>
    <w:p w:rsidR="00FB5D9D" w:rsidRDefault="00FB5D9D" w:rsidP="00FB5D9D">
      <w:pPr>
        <w:pStyle w:val="MDPI16affiliation"/>
        <w:numPr>
          <w:ilvl w:val="0"/>
          <w:numId w:val="6"/>
        </w:numPr>
        <w:jc w:val="both"/>
        <w:rPr>
          <w:lang w:val="it-IT"/>
        </w:rPr>
      </w:pPr>
      <w:r w:rsidRPr="00FB5D9D">
        <w:rPr>
          <w:lang w:val="it-IT"/>
        </w:rPr>
        <w:t>Peter Grenberg Institute (PGI-6), Forschungszentrum Jelich GmbH, Leo-Brandt-Straße, 52428 Jelich (Germany)</w:t>
      </w:r>
    </w:p>
    <w:p w:rsidR="00FB5D9D" w:rsidRPr="00FB5D9D" w:rsidRDefault="00FB5D9D" w:rsidP="00FB5D9D">
      <w:pPr>
        <w:pStyle w:val="MDPI16affiliation"/>
        <w:numPr>
          <w:ilvl w:val="0"/>
          <w:numId w:val="6"/>
        </w:numPr>
        <w:jc w:val="both"/>
        <w:rPr>
          <w:lang w:val="it-IT"/>
        </w:rPr>
      </w:pPr>
      <w:r w:rsidRPr="00FB5D9D">
        <w:rPr>
          <w:lang w:val="it-IT"/>
        </w:rPr>
        <w:t>Fakultät f. Physik and Center for Nanointegration Duisburg-Essen (CENIDE), Universität Duisburg-Essen, D-47048 Duisburg, Germany</w:t>
      </w:r>
    </w:p>
    <w:p w:rsidR="00FB5D9D" w:rsidRPr="00FB5D9D" w:rsidRDefault="00FB5D9D" w:rsidP="00FB5D9D">
      <w:pPr>
        <w:pStyle w:val="MDPI16affiliation"/>
        <w:numPr>
          <w:ilvl w:val="0"/>
          <w:numId w:val="6"/>
        </w:numPr>
        <w:jc w:val="both"/>
        <w:rPr>
          <w:lang w:val="it-IT"/>
        </w:rPr>
      </w:pPr>
      <w:r w:rsidRPr="00FB5D9D">
        <w:rPr>
          <w:lang w:val="it-IT"/>
        </w:rPr>
        <w:t>CNR-IOM, Lab. TASC, S.S. 14, Km. 163,5, 34149 Trieste (Italy)</w:t>
      </w:r>
    </w:p>
    <w:p w:rsidR="00FB5D9D" w:rsidRPr="00FB5D9D" w:rsidRDefault="00FB5D9D" w:rsidP="00FB5D9D">
      <w:pPr>
        <w:pStyle w:val="MDPI16affiliation"/>
        <w:rPr>
          <w:lang w:val="en-GB"/>
        </w:rPr>
      </w:pPr>
      <w:r w:rsidRPr="00FB5D9D">
        <w:rPr>
          <w:lang w:val="en-GB"/>
        </w:rPr>
        <w:t>*</w:t>
      </w:r>
      <w:r w:rsidRPr="00FB5D9D">
        <w:rPr>
          <w:lang w:val="en-GB"/>
        </w:rPr>
        <w:tab/>
        <w:t xml:space="preserve">Correspondence: </w:t>
      </w:r>
      <w:hyperlink r:id="rId7" w:history="1">
        <w:r w:rsidRPr="00FB5D9D">
          <w:rPr>
            <w:rStyle w:val="Hyperlink"/>
            <w:lang w:val="en-GB"/>
          </w:rPr>
          <w:t>silvia.carlotto@unipd.it</w:t>
        </w:r>
      </w:hyperlink>
      <w:r w:rsidRPr="00FB5D9D">
        <w:rPr>
          <w:rStyle w:val="Hyperlink"/>
          <w:lang w:val="en-GB"/>
        </w:rPr>
        <w:t>,</w:t>
      </w:r>
      <w:r w:rsidRPr="00FB5D9D">
        <w:rPr>
          <w:lang w:val="en-GB"/>
        </w:rPr>
        <w:t xml:space="preserve"> maurizio.casarin@unipd.it</w:t>
      </w:r>
    </w:p>
    <w:p w:rsidR="00FB5D9D" w:rsidRPr="00FB5D9D" w:rsidRDefault="00FB5D9D" w:rsidP="00FB5D9D">
      <w:pPr>
        <w:pStyle w:val="MDPI17abstract"/>
        <w:rPr>
          <w:szCs w:val="18"/>
          <w:lang w:val="en-GB"/>
        </w:rPr>
      </w:pPr>
      <w:r w:rsidRPr="00FB5D9D">
        <w:rPr>
          <w:b/>
          <w:szCs w:val="18"/>
          <w:lang w:val="en-GB"/>
        </w:rPr>
        <w:t>Abstract:</w:t>
      </w:r>
      <w:r w:rsidRPr="00FB5D9D">
        <w:rPr>
          <w:bCs/>
          <w:szCs w:val="18"/>
          <w:lang w:val="en-GB"/>
        </w:rPr>
        <w:t xml:space="preserve"> Density Functional Theory combined with the molecular cluster model has been used to investigate the surface </w:t>
      </w:r>
      <w:r w:rsidRPr="00FB5D9D">
        <w:rPr>
          <w:bCs/>
          <w:i/>
          <w:szCs w:val="18"/>
          <w:lang w:val="en-GB"/>
        </w:rPr>
        <w:t>trans</w:t>
      </w:r>
      <w:r w:rsidRPr="00FB5D9D">
        <w:rPr>
          <w:bCs/>
          <w:szCs w:val="18"/>
          <w:lang w:val="en-GB"/>
        </w:rPr>
        <w:t>-effect induced by the coordination of small molecules L (L = CO, NH</w:t>
      </w:r>
      <w:r w:rsidRPr="00FB5D9D">
        <w:rPr>
          <w:bCs/>
          <w:szCs w:val="18"/>
          <w:vertAlign w:val="subscript"/>
          <w:lang w:val="en-GB"/>
        </w:rPr>
        <w:t>3</w:t>
      </w:r>
      <w:r w:rsidRPr="00FB5D9D">
        <w:rPr>
          <w:bCs/>
          <w:szCs w:val="18"/>
          <w:lang w:val="en-GB"/>
        </w:rPr>
        <w:t>, NO, NO</w:t>
      </w:r>
      <w:r w:rsidRPr="00FB5D9D">
        <w:rPr>
          <w:bCs/>
          <w:szCs w:val="18"/>
          <w:vertAlign w:val="subscript"/>
          <w:lang w:val="en-GB"/>
        </w:rPr>
        <w:t>2</w:t>
      </w:r>
      <w:r w:rsidRPr="00FB5D9D">
        <w:rPr>
          <w:bCs/>
          <w:szCs w:val="18"/>
          <w:lang w:val="en-GB"/>
        </w:rPr>
        <w:t xml:space="preserve"> and O</w:t>
      </w:r>
      <w:r w:rsidRPr="00FB5D9D">
        <w:rPr>
          <w:bCs/>
          <w:szCs w:val="18"/>
          <w:vertAlign w:val="subscript"/>
          <w:lang w:val="en-GB"/>
        </w:rPr>
        <w:t>2</w:t>
      </w:r>
      <w:r w:rsidRPr="00FB5D9D">
        <w:rPr>
          <w:bCs/>
          <w:szCs w:val="18"/>
          <w:lang w:val="en-GB"/>
        </w:rPr>
        <w:t xml:space="preserve">) on the Co local electronic structure of CoTPP surface-supported on coinage metal surfaces (Cu, Ag, and Au). </w:t>
      </w:r>
      <w:r w:rsidRPr="00FB5D9D">
        <w:rPr>
          <w:rFonts w:ascii="Times New Roman" w:hAnsi="Times New Roman"/>
          <w:bCs/>
          <w:szCs w:val="18"/>
          <w:lang/>
        </w:rPr>
        <w:t>Regardless of whether L has a closed or open shell</w:t>
      </w:r>
      <w:r w:rsidRPr="00FB5D9D">
        <w:rPr>
          <w:bCs/>
          <w:szCs w:val="18"/>
          <w:lang w:val="en-GB"/>
        </w:rPr>
        <w:t xml:space="preserve">, its coordination to Co </w:t>
      </w:r>
      <w:r w:rsidRPr="00FB5D9D">
        <w:rPr>
          <w:rFonts w:ascii="Times New Roman" w:hAnsi="Times New Roman"/>
          <w:bCs/>
          <w:szCs w:val="18"/>
          <w:lang/>
        </w:rPr>
        <w:t>remove</w:t>
      </w:r>
      <w:r w:rsidRPr="00FB5D9D">
        <w:rPr>
          <w:bCs/>
          <w:szCs w:val="18"/>
          <w:lang w:val="en-GB"/>
        </w:rPr>
        <w:t xml:space="preserve"> the direct interaction between Co and the substrate. </w:t>
      </w:r>
      <w:r w:rsidRPr="00FB5D9D">
        <w:rPr>
          <w:szCs w:val="18"/>
          <w:lang w:val="en-GB"/>
        </w:rPr>
        <w:t xml:space="preserve">The </w:t>
      </w:r>
      <w:r w:rsidRPr="00FB5D9D">
        <w:rPr>
          <w:lang w:val="en-GB"/>
        </w:rPr>
        <w:t>CO and NH</w:t>
      </w:r>
      <w:r w:rsidRPr="00FB5D9D">
        <w:rPr>
          <w:vertAlign w:val="subscript"/>
          <w:lang w:val="en-GB"/>
        </w:rPr>
        <w:t>3</w:t>
      </w:r>
      <w:r w:rsidRPr="00FB5D9D">
        <w:rPr>
          <w:lang w:val="en-GB"/>
        </w:rPr>
        <w:t xml:space="preserve"> bonding to CoTPP does not influence the Co local electronic structure, while the NO (NO</w:t>
      </w:r>
      <w:r w:rsidRPr="00FB5D9D">
        <w:rPr>
          <w:vertAlign w:val="subscript"/>
          <w:lang w:val="en-GB"/>
        </w:rPr>
        <w:t>2</w:t>
      </w:r>
      <w:r w:rsidRPr="00FB5D9D">
        <w:rPr>
          <w:lang w:val="en-GB"/>
        </w:rPr>
        <w:t xml:space="preserve"> and O</w:t>
      </w:r>
      <w:r w:rsidRPr="00FB5D9D">
        <w:rPr>
          <w:vertAlign w:val="subscript"/>
          <w:lang w:val="en-GB"/>
        </w:rPr>
        <w:t>2</w:t>
      </w:r>
      <w:r w:rsidRPr="00FB5D9D">
        <w:rPr>
          <w:lang w:val="en-GB"/>
        </w:rPr>
        <w:t>) coordination</w:t>
      </w:r>
      <w:r w:rsidRPr="00FB5D9D">
        <w:rPr>
          <w:b/>
          <w:szCs w:val="18"/>
          <w:lang w:val="en-GB"/>
        </w:rPr>
        <w:t xml:space="preserve"> </w:t>
      </w:r>
      <w:r w:rsidRPr="00FB5D9D">
        <w:rPr>
          <w:szCs w:val="18"/>
          <w:lang w:val="en-GB"/>
        </w:rPr>
        <w:t>induces</w:t>
      </w:r>
      <w:r w:rsidRPr="00FB5D9D">
        <w:rPr>
          <w:b/>
          <w:szCs w:val="18"/>
          <w:lang w:val="en-GB"/>
        </w:rPr>
        <w:t xml:space="preserve"> </w:t>
      </w:r>
      <w:r w:rsidRPr="00FB5D9D">
        <w:rPr>
          <w:szCs w:val="18"/>
          <w:lang w:val="en-GB"/>
        </w:rPr>
        <w:t>a Co</w:t>
      </w:r>
      <w:r w:rsidRPr="00FB5D9D">
        <w:rPr>
          <w:b/>
          <w:szCs w:val="18"/>
          <w:lang w:val="en-GB"/>
        </w:rPr>
        <w:t xml:space="preserve"> </w:t>
      </w:r>
      <w:r w:rsidRPr="00FB5D9D">
        <w:rPr>
          <w:bCs/>
          <w:szCs w:val="18"/>
          <w:lang w:val="en-GB"/>
        </w:rPr>
        <w:t>reduction</w:t>
      </w:r>
      <w:r w:rsidRPr="00FB5D9D">
        <w:rPr>
          <w:b/>
          <w:szCs w:val="18"/>
          <w:lang w:val="en-GB"/>
        </w:rPr>
        <w:t xml:space="preserve"> </w:t>
      </w:r>
      <w:r w:rsidRPr="00FB5D9D">
        <w:rPr>
          <w:szCs w:val="18"/>
          <w:lang w:val="en-GB"/>
        </w:rPr>
        <w:t>(oxidation)</w:t>
      </w:r>
      <w:r w:rsidRPr="00FB5D9D">
        <w:rPr>
          <w:rFonts w:ascii="Times New Roman" w:hAnsi="Times New Roman"/>
          <w:szCs w:val="18"/>
          <w:lang/>
        </w:rPr>
        <w:t>,</w:t>
      </w:r>
      <w:r w:rsidRPr="00FB5D9D">
        <w:rPr>
          <w:b/>
          <w:szCs w:val="18"/>
          <w:lang w:val="en-GB"/>
        </w:rPr>
        <w:t xml:space="preserve"> </w:t>
      </w:r>
      <w:r w:rsidRPr="00FB5D9D">
        <w:rPr>
          <w:szCs w:val="18"/>
          <w:lang w:val="en-GB"/>
        </w:rPr>
        <w:t>generating a 3d</w:t>
      </w:r>
      <w:r w:rsidRPr="00FB5D9D">
        <w:rPr>
          <w:szCs w:val="18"/>
          <w:vertAlign w:val="superscript"/>
          <w:lang w:val="en-GB"/>
        </w:rPr>
        <w:t>8</w:t>
      </w:r>
      <w:r w:rsidRPr="00FB5D9D">
        <w:rPr>
          <w:szCs w:val="18"/>
          <w:lang w:val="en-GB"/>
        </w:rPr>
        <w:t xml:space="preserve"> Co</w:t>
      </w:r>
      <w:r w:rsidRPr="00FB5D9D">
        <w:rPr>
          <w:szCs w:val="18"/>
          <w:vertAlign w:val="superscript"/>
          <w:lang w:val="en-GB"/>
        </w:rPr>
        <w:t>I</w:t>
      </w:r>
      <w:r w:rsidRPr="00FB5D9D">
        <w:rPr>
          <w:szCs w:val="18"/>
          <w:lang w:val="en-GB"/>
        </w:rPr>
        <w:t xml:space="preserve"> (3d</w:t>
      </w:r>
      <w:r w:rsidRPr="00FB5D9D">
        <w:rPr>
          <w:szCs w:val="18"/>
          <w:vertAlign w:val="superscript"/>
          <w:lang w:val="en-GB"/>
        </w:rPr>
        <w:t>6</w:t>
      </w:r>
      <w:r w:rsidRPr="00FB5D9D">
        <w:rPr>
          <w:szCs w:val="18"/>
          <w:lang w:val="en-GB"/>
        </w:rPr>
        <w:t xml:space="preserve"> Co</w:t>
      </w:r>
      <w:r w:rsidRPr="00FB5D9D">
        <w:rPr>
          <w:szCs w:val="18"/>
          <w:vertAlign w:val="superscript"/>
          <w:lang w:val="en-GB"/>
        </w:rPr>
        <w:t>III</w:t>
      </w:r>
      <w:r w:rsidRPr="00FB5D9D">
        <w:rPr>
          <w:szCs w:val="18"/>
          <w:lang w:val="en-GB"/>
        </w:rPr>
        <w:t>) magnetically silent closed-shell species.</w:t>
      </w:r>
      <w:r w:rsidRPr="00FB5D9D">
        <w:rPr>
          <w:b/>
          <w:szCs w:val="18"/>
          <w:lang w:val="en-GB"/>
        </w:rPr>
        <w:t xml:space="preserve"> </w:t>
      </w:r>
      <w:r w:rsidRPr="00FB5D9D">
        <w:rPr>
          <w:lang w:val="en-GB"/>
        </w:rPr>
        <w:t xml:space="preserve">Theoretical outcomes herein reported demonstrate that simple and computationally </w:t>
      </w:r>
      <w:r w:rsidRPr="00FB5D9D">
        <w:rPr>
          <w:rFonts w:ascii="Times New Roman" w:hAnsi="Times New Roman"/>
          <w:lang/>
        </w:rPr>
        <w:t>i</w:t>
      </w:r>
      <w:r w:rsidRPr="00FB5D9D">
        <w:rPr>
          <w:lang w:val="en-GB"/>
        </w:rPr>
        <w:t xml:space="preserve">nexpensive models </w:t>
      </w:r>
      <w:r w:rsidRPr="00FB5D9D">
        <w:rPr>
          <w:rFonts w:ascii="Times New Roman" w:hAnsi="Times New Roman"/>
          <w:lang/>
        </w:rPr>
        <w:t>can</w:t>
      </w:r>
      <w:r w:rsidRPr="00FB5D9D">
        <w:rPr>
          <w:lang w:val="en-GB"/>
        </w:rPr>
        <w:t xml:space="preserve"> be </w:t>
      </w:r>
      <w:r w:rsidRPr="00FB5D9D">
        <w:rPr>
          <w:rFonts w:ascii="Times New Roman" w:hAnsi="Times New Roman"/>
          <w:lang/>
        </w:rPr>
        <w:t>used</w:t>
      </w:r>
      <w:r w:rsidRPr="00FB5D9D">
        <w:rPr>
          <w:lang w:val="en-GB"/>
        </w:rPr>
        <w:t xml:space="preserve"> </w:t>
      </w:r>
      <w:r w:rsidRPr="00FB5D9D">
        <w:rPr>
          <w:rFonts w:ascii="Times New Roman" w:hAnsi="Times New Roman"/>
          <w:lang/>
        </w:rPr>
        <w:t xml:space="preserve">to </w:t>
      </w:r>
      <w:r w:rsidRPr="00FB5D9D">
        <w:rPr>
          <w:lang w:val="en-GB"/>
        </w:rPr>
        <w:t xml:space="preserve">not only rationalize but also predict the effects </w:t>
      </w:r>
      <w:r w:rsidRPr="00FB5D9D">
        <w:rPr>
          <w:rFonts w:ascii="Times New Roman" w:hAnsi="Times New Roman"/>
          <w:lang/>
        </w:rPr>
        <w:t>of</w:t>
      </w:r>
      <w:r w:rsidRPr="00FB5D9D">
        <w:rPr>
          <w:lang w:val="en-GB"/>
        </w:rPr>
        <w:t xml:space="preserve"> the Co–L bonding on the magnetic behaviour of CoTPP chemisorbed on coinage metals. The same model can be easily extended to other transition metals or coordinated molecules. </w:t>
      </w:r>
    </w:p>
    <w:p w:rsidR="00FB5D9D" w:rsidRPr="00FB5D9D" w:rsidRDefault="00FB5D9D" w:rsidP="00FB5D9D">
      <w:pPr>
        <w:pStyle w:val="MDPI18keywords"/>
        <w:rPr>
          <w:szCs w:val="18"/>
          <w:lang w:val="en-GB"/>
        </w:rPr>
      </w:pPr>
      <w:r w:rsidRPr="00FB5D9D">
        <w:rPr>
          <w:b/>
          <w:szCs w:val="18"/>
          <w:lang w:val="en-GB"/>
        </w:rPr>
        <w:t>Keywords:</w:t>
      </w:r>
      <w:r w:rsidRPr="00FB5D9D">
        <w:rPr>
          <w:szCs w:val="18"/>
          <w:lang w:val="en-GB"/>
        </w:rPr>
        <w:t xml:space="preserve"> Density Functional Theory; </w:t>
      </w:r>
      <w:r w:rsidRPr="00FB5D9D">
        <w:rPr>
          <w:bCs/>
          <w:szCs w:val="18"/>
          <w:lang w:val="en-GB"/>
        </w:rPr>
        <w:t>Transition Metal Porphyrinate Complexes</w:t>
      </w:r>
      <w:r w:rsidRPr="00FB5D9D">
        <w:rPr>
          <w:szCs w:val="18"/>
          <w:lang w:val="en-GB"/>
        </w:rPr>
        <w:t>; Molecular Cluster Approximation.</w:t>
      </w:r>
    </w:p>
    <w:p w:rsidR="00FB5D9D" w:rsidRPr="00FB5D9D" w:rsidRDefault="00FB5D9D" w:rsidP="00FB5D9D">
      <w:pPr>
        <w:pStyle w:val="MDPI19line"/>
        <w:rPr>
          <w:lang w:val="en-GB"/>
        </w:rPr>
      </w:pPr>
    </w:p>
    <w:p w:rsidR="00FB5D9D" w:rsidRPr="00FB5D9D" w:rsidRDefault="00FB5D9D" w:rsidP="00FB5D9D">
      <w:pPr>
        <w:pStyle w:val="MDPI21heading1"/>
        <w:spacing w:after="240"/>
        <w:rPr>
          <w:color w:val="FF0000"/>
          <w:lang w:eastAsia="zh-CN"/>
        </w:rPr>
      </w:pPr>
      <w:r w:rsidRPr="00FB5D9D">
        <w:rPr>
          <w:lang w:eastAsia="zh-CN"/>
        </w:rPr>
        <w:t xml:space="preserve">1. Introduction </w:t>
      </w:r>
    </w:p>
    <w:p w:rsidR="00FB5D9D" w:rsidRPr="00FB5D9D" w:rsidRDefault="00FB5D9D" w:rsidP="00FB5D9D">
      <w:pPr>
        <w:pStyle w:val="MDPI31text"/>
        <w:rPr>
          <w:lang w:val="en-GB"/>
        </w:rPr>
      </w:pPr>
      <w:r w:rsidRPr="00FB5D9D">
        <w:rPr>
          <w:lang w:val="en-GB"/>
        </w:rPr>
        <w:t xml:space="preserve">Among countless adsorbates, transition metal porphyrins and phthalocyanines (hereafter, MP and MPc, respectively) hold a prominent position because of their unique characteristics. Indeed, their conformational flexibility allows them to </w:t>
      </w:r>
      <w:r w:rsidRPr="00FB5D9D">
        <w:rPr>
          <w:rFonts w:ascii="Times New Roman" w:hAnsi="Times New Roman"/>
          <w:lang/>
        </w:rPr>
        <w:t>adopt</w:t>
      </w:r>
      <w:r w:rsidRPr="00FB5D9D">
        <w:rPr>
          <w:lang w:val="en-GB"/>
        </w:rPr>
        <w:t xml:space="preserve"> different structural arrangements on diverse substrates, which may significantly influence their properties. Moreover, the metal centre occupying either the P</w:t>
      </w:r>
      <w:r w:rsidRPr="00FB5D9D">
        <w:rPr>
          <w:vertAlign w:val="superscript"/>
          <w:lang w:val="en-GB"/>
        </w:rPr>
        <w:t>2-</w:t>
      </w:r>
      <w:r w:rsidRPr="00FB5D9D">
        <w:rPr>
          <w:lang w:val="en-GB"/>
        </w:rPr>
        <w:t xml:space="preserve"> or the Pc</w:t>
      </w:r>
      <w:r w:rsidRPr="00FB5D9D">
        <w:rPr>
          <w:vertAlign w:val="superscript"/>
          <w:lang w:val="en-GB"/>
        </w:rPr>
        <w:t>2-</w:t>
      </w:r>
      <w:r w:rsidRPr="00FB5D9D">
        <w:rPr>
          <w:lang w:val="en-GB"/>
        </w:rPr>
        <w:t xml:space="preserve"> four-fold coordinative pocket often plays an active role in catalysis and sensors [</w:t>
      </w:r>
      <w:r w:rsidRPr="00FB5D9D">
        <w:rPr>
          <w:lang w:val="en-GB"/>
        </w:rPr>
        <w:fldChar w:fldCharType="begin"/>
      </w:r>
      <w:r w:rsidRPr="00FB5D9D">
        <w:rPr>
          <w:lang w:val="en-GB"/>
        </w:rPr>
        <w:instrText xml:space="preserve">REF _Ref82071043 \r \h \* MERGEFORMAT </w:instrText>
      </w:r>
      <w:r w:rsidRPr="00FB5D9D">
        <w:rPr>
          <w:lang w:val="en-GB"/>
        </w:rPr>
      </w:r>
      <w:r w:rsidRPr="00FB5D9D">
        <w:rPr>
          <w:lang w:val="en-GB"/>
        </w:rPr>
        <w:fldChar w:fldCharType="separate"/>
      </w:r>
      <w:r w:rsidRPr="00FB5D9D">
        <w:rPr>
          <w:lang w:val="en-GB"/>
        </w:rPr>
        <w:t>1</w:t>
      </w:r>
      <w:r w:rsidRPr="00FB5D9D">
        <w:rPr>
          <w:lang w:val="en-GB"/>
        </w:rPr>
        <w:fldChar w:fldCharType="end"/>
      </w:r>
      <w:r w:rsidRPr="00FB5D9D">
        <w:rPr>
          <w:lang w:val="en-GB"/>
        </w:rPr>
        <w:t>-</w:t>
      </w:r>
      <w:r w:rsidRPr="00FB5D9D">
        <w:rPr>
          <w:lang w:val="en-GB"/>
        </w:rPr>
        <w:fldChar w:fldCharType="begin"/>
      </w:r>
      <w:r w:rsidRPr="00FB5D9D">
        <w:rPr>
          <w:lang w:val="en-GB"/>
        </w:rPr>
        <w:instrText xml:space="preserve">REF _Ref82071047 \r \h \* MERGEFORMAT </w:instrText>
      </w:r>
      <w:r w:rsidRPr="00FB5D9D">
        <w:rPr>
          <w:lang w:val="en-GB"/>
        </w:rPr>
      </w:r>
      <w:r w:rsidRPr="00FB5D9D">
        <w:rPr>
          <w:lang w:val="en-GB"/>
        </w:rPr>
        <w:fldChar w:fldCharType="separate"/>
      </w:r>
      <w:r w:rsidRPr="00FB5D9D">
        <w:rPr>
          <w:lang w:val="en-GB"/>
        </w:rPr>
        <w:t>7</w:t>
      </w:r>
      <w:r w:rsidRPr="00FB5D9D">
        <w:rPr>
          <w:lang w:val="en-GB"/>
        </w:rPr>
        <w:fldChar w:fldCharType="end"/>
      </w:r>
      <w:r w:rsidRPr="00FB5D9D">
        <w:rPr>
          <w:lang w:val="en-GB"/>
        </w:rPr>
        <w:t xml:space="preserve">], while the M </w:t>
      </w:r>
      <w:r w:rsidRPr="00FB5D9D">
        <w:rPr>
          <w:i/>
          <w:lang w:val="en-GB"/>
        </w:rPr>
        <w:t>n</w:t>
      </w:r>
      <w:r w:rsidRPr="00FB5D9D">
        <w:rPr>
          <w:lang w:val="en-GB"/>
        </w:rPr>
        <w:t>d</w:t>
      </w:r>
      <w:r w:rsidRPr="00FB5D9D">
        <w:rPr>
          <w:i/>
          <w:vertAlign w:val="superscript"/>
          <w:lang w:val="en-GB"/>
        </w:rPr>
        <w:t>m</w:t>
      </w:r>
      <w:r w:rsidRPr="00FB5D9D">
        <w:rPr>
          <w:lang w:val="en-GB"/>
        </w:rPr>
        <w:t xml:space="preserve"> configuration drives the corresponding magnetic behaviour [</w:t>
      </w:r>
      <w:r w:rsidRPr="00FB5D9D">
        <w:rPr>
          <w:lang w:val="en-GB"/>
        </w:rPr>
        <w:fldChar w:fldCharType="begin"/>
      </w:r>
      <w:r w:rsidRPr="00FB5D9D">
        <w:rPr>
          <w:lang w:val="en-GB"/>
        </w:rPr>
        <w:instrText xml:space="preserve">REF _Ref82071537 \r \h \* MERGEFORMAT </w:instrText>
      </w:r>
      <w:r w:rsidRPr="00FB5D9D">
        <w:rPr>
          <w:lang w:val="en-GB"/>
        </w:rPr>
      </w:r>
      <w:r w:rsidRPr="00FB5D9D">
        <w:rPr>
          <w:lang w:val="en-GB"/>
        </w:rPr>
        <w:fldChar w:fldCharType="separate"/>
      </w:r>
      <w:r w:rsidRPr="00FB5D9D">
        <w:rPr>
          <w:lang w:val="en-GB"/>
        </w:rPr>
        <w:t>8</w:t>
      </w:r>
      <w:r w:rsidRPr="00FB5D9D">
        <w:rPr>
          <w:lang w:val="en-GB"/>
        </w:rPr>
        <w:fldChar w:fldCharType="end"/>
      </w:r>
      <w:r w:rsidRPr="00FB5D9D">
        <w:rPr>
          <w:lang w:val="en-GB"/>
        </w:rPr>
        <w:t>-</w:t>
      </w:r>
      <w:r w:rsidRPr="00FB5D9D">
        <w:rPr>
          <w:lang w:val="en-GB"/>
        </w:rPr>
        <w:fldChar w:fldCharType="begin"/>
      </w:r>
      <w:r w:rsidRPr="00FB5D9D">
        <w:rPr>
          <w:lang w:val="en-GB"/>
        </w:rPr>
        <w:instrText xml:space="preserve">REF _Ref82071542 \r \h \* MERGEFORMAT </w:instrText>
      </w:r>
      <w:r w:rsidRPr="00FB5D9D">
        <w:rPr>
          <w:lang w:val="en-GB"/>
        </w:rPr>
      </w:r>
      <w:r w:rsidRPr="00FB5D9D">
        <w:rPr>
          <w:lang w:val="en-GB"/>
        </w:rPr>
        <w:fldChar w:fldCharType="separate"/>
      </w:r>
      <w:r w:rsidRPr="00FB5D9D">
        <w:rPr>
          <w:lang w:val="en-GB"/>
        </w:rPr>
        <w:t>11</w:t>
      </w:r>
      <w:r w:rsidRPr="00FB5D9D">
        <w:rPr>
          <w:lang w:val="en-GB"/>
        </w:rPr>
        <w:fldChar w:fldCharType="end"/>
      </w:r>
      <w:r w:rsidRPr="00FB5D9D">
        <w:rPr>
          <w:lang w:val="en-GB"/>
        </w:rPr>
        <w:t>]. All these features make surface-supported MP and MPc appealing for technological applications including chemical sensors [</w:t>
      </w:r>
      <w:r w:rsidRPr="00FB5D9D">
        <w:rPr>
          <w:lang w:val="en-GB"/>
        </w:rPr>
        <w:fldChar w:fldCharType="begin"/>
      </w:r>
      <w:r w:rsidRPr="00FB5D9D">
        <w:rPr>
          <w:lang w:val="en-GB"/>
        </w:rPr>
        <w:instrText>REF _Ref82071568 \r \h</w:instrText>
      </w:r>
      <w:r w:rsidRPr="00FB5D9D">
        <w:rPr>
          <w:lang w:val="en-GB"/>
        </w:rPr>
      </w:r>
      <w:r>
        <w:rPr>
          <w:lang w:val="en-GB"/>
        </w:rPr>
        <w:instrText xml:space="preserve"> \* MERGEFORMAT </w:instrText>
      </w:r>
      <w:r w:rsidRPr="00FB5D9D">
        <w:rPr>
          <w:lang w:val="en-GB"/>
        </w:rPr>
        <w:fldChar w:fldCharType="separate"/>
      </w:r>
      <w:r w:rsidRPr="00FB5D9D">
        <w:rPr>
          <w:lang w:val="en-GB"/>
        </w:rPr>
        <w:t>11</w:t>
      </w:r>
      <w:r w:rsidRPr="00FB5D9D">
        <w:rPr>
          <w:lang w:val="en-GB"/>
        </w:rPr>
        <w:fldChar w:fldCharType="end"/>
      </w:r>
      <w:r w:rsidRPr="00FB5D9D">
        <w:rPr>
          <w:lang w:val="en-GB"/>
        </w:rPr>
        <w:t>-</w:t>
      </w:r>
      <w:r w:rsidRPr="00FB5D9D">
        <w:rPr>
          <w:lang w:val="en-GB"/>
        </w:rPr>
        <w:fldChar w:fldCharType="begin"/>
      </w:r>
      <w:r w:rsidRPr="00FB5D9D">
        <w:rPr>
          <w:lang w:val="en-GB"/>
        </w:rPr>
        <w:instrText>REF _Ref82071570 \r \h</w:instrText>
      </w:r>
      <w:r w:rsidRPr="00FB5D9D">
        <w:rPr>
          <w:lang w:val="en-GB"/>
        </w:rPr>
      </w:r>
      <w:r>
        <w:rPr>
          <w:lang w:val="en-GB"/>
        </w:rPr>
        <w:instrText xml:space="preserve"> \* MERGEFORMAT </w:instrText>
      </w:r>
      <w:r w:rsidRPr="00FB5D9D">
        <w:rPr>
          <w:lang w:val="en-GB"/>
        </w:rPr>
        <w:fldChar w:fldCharType="separate"/>
      </w:r>
      <w:r w:rsidRPr="00FB5D9D">
        <w:rPr>
          <w:lang w:val="en-GB"/>
        </w:rPr>
        <w:t>12</w:t>
      </w:r>
      <w:r w:rsidRPr="00FB5D9D">
        <w:rPr>
          <w:lang w:val="en-GB"/>
        </w:rPr>
        <w:fldChar w:fldCharType="end"/>
      </w:r>
      <w:r w:rsidRPr="00FB5D9D">
        <w:rPr>
          <w:lang w:val="en-GB"/>
        </w:rPr>
        <w:t>], storage [</w:t>
      </w:r>
      <w:r w:rsidRPr="00FB5D9D">
        <w:rPr>
          <w:lang w:val="en-GB"/>
        </w:rPr>
        <w:fldChar w:fldCharType="begin"/>
      </w:r>
      <w:r w:rsidRPr="00FB5D9D">
        <w:rPr>
          <w:lang w:val="en-GB"/>
        </w:rPr>
        <w:instrText>REF _Ref82071937 \r \h</w:instrText>
      </w:r>
      <w:r w:rsidRPr="00FB5D9D">
        <w:rPr>
          <w:lang w:val="en-GB"/>
        </w:rPr>
      </w:r>
      <w:r>
        <w:rPr>
          <w:lang w:val="en-GB"/>
        </w:rPr>
        <w:instrText xml:space="preserve"> \* MERGEFORMAT </w:instrText>
      </w:r>
      <w:r w:rsidRPr="00FB5D9D">
        <w:rPr>
          <w:lang w:val="en-GB"/>
        </w:rPr>
        <w:fldChar w:fldCharType="separate"/>
      </w:r>
      <w:r w:rsidRPr="00FB5D9D">
        <w:rPr>
          <w:lang w:val="en-GB"/>
        </w:rPr>
        <w:t>13</w:t>
      </w:r>
      <w:r w:rsidRPr="00FB5D9D">
        <w:rPr>
          <w:lang w:val="en-GB"/>
        </w:rPr>
        <w:fldChar w:fldCharType="end"/>
      </w:r>
      <w:r w:rsidRPr="00FB5D9D">
        <w:rPr>
          <w:lang w:val="en-GB"/>
        </w:rPr>
        <w:t>], spintronic/magnetic devices [</w:t>
      </w:r>
      <w:r w:rsidRPr="00FB5D9D">
        <w:rPr>
          <w:lang w:val="en-GB"/>
        </w:rPr>
        <w:fldChar w:fldCharType="begin"/>
      </w:r>
      <w:r w:rsidRPr="00FB5D9D">
        <w:rPr>
          <w:lang w:val="en-GB"/>
        </w:rPr>
        <w:instrText>REF _Ref82072524 \r \h</w:instrText>
      </w:r>
      <w:r w:rsidRPr="00FB5D9D">
        <w:rPr>
          <w:lang w:val="en-GB"/>
        </w:rPr>
      </w:r>
      <w:r>
        <w:rPr>
          <w:lang w:val="en-GB"/>
        </w:rPr>
        <w:instrText xml:space="preserve"> \* MERGEFORMAT </w:instrText>
      </w:r>
      <w:r w:rsidRPr="00FB5D9D">
        <w:rPr>
          <w:lang w:val="en-GB"/>
        </w:rPr>
        <w:fldChar w:fldCharType="separate"/>
      </w:r>
      <w:r w:rsidRPr="00FB5D9D">
        <w:rPr>
          <w:lang w:val="en-GB"/>
        </w:rPr>
        <w:t>14</w:t>
      </w:r>
      <w:r w:rsidRPr="00FB5D9D">
        <w:rPr>
          <w:lang w:val="en-GB"/>
        </w:rPr>
        <w:fldChar w:fldCharType="end"/>
      </w:r>
      <w:r w:rsidRPr="00FB5D9D">
        <w:rPr>
          <w:lang w:val="en-GB"/>
        </w:rPr>
        <w:t>-</w:t>
      </w:r>
      <w:r w:rsidRPr="00FB5D9D">
        <w:rPr>
          <w:lang w:val="en-GB"/>
        </w:rPr>
        <w:fldChar w:fldCharType="begin"/>
      </w:r>
      <w:r w:rsidRPr="00FB5D9D">
        <w:rPr>
          <w:lang w:val="en-GB"/>
        </w:rPr>
        <w:instrText>REF _Ref82072525 \r \h</w:instrText>
      </w:r>
      <w:r w:rsidRPr="00FB5D9D">
        <w:rPr>
          <w:lang w:val="en-GB"/>
        </w:rPr>
      </w:r>
      <w:r>
        <w:rPr>
          <w:lang w:val="en-GB"/>
        </w:rPr>
        <w:instrText xml:space="preserve"> \* MERGEFORMAT </w:instrText>
      </w:r>
      <w:r w:rsidRPr="00FB5D9D">
        <w:rPr>
          <w:lang w:val="en-GB"/>
        </w:rPr>
        <w:fldChar w:fldCharType="separate"/>
      </w:r>
      <w:r w:rsidRPr="00FB5D9D">
        <w:rPr>
          <w:lang w:val="en-GB"/>
        </w:rPr>
        <w:t>15</w:t>
      </w:r>
      <w:r w:rsidRPr="00FB5D9D">
        <w:rPr>
          <w:lang w:val="en-GB"/>
        </w:rPr>
        <w:fldChar w:fldCharType="end"/>
      </w:r>
      <w:r w:rsidRPr="00FB5D9D">
        <w:rPr>
          <w:lang w:val="en-GB"/>
        </w:rPr>
        <w:t>]</w:t>
      </w:r>
      <w:r w:rsidRPr="00FB5D9D">
        <w:rPr>
          <w:rFonts w:ascii="Times New Roman" w:hAnsi="Times New Roman"/>
          <w:lang/>
        </w:rPr>
        <w:t>,</w:t>
      </w:r>
      <w:r w:rsidRPr="00FB5D9D">
        <w:rPr>
          <w:lang w:val="en-GB"/>
        </w:rPr>
        <w:t xml:space="preserve"> and heterogenous catalysis [</w:t>
      </w:r>
      <w:r w:rsidRPr="00FB5D9D">
        <w:rPr>
          <w:lang w:val="en-GB"/>
        </w:rPr>
        <w:fldChar w:fldCharType="begin"/>
      </w:r>
      <w:r w:rsidRPr="00FB5D9D">
        <w:rPr>
          <w:lang w:val="en-GB"/>
        </w:rPr>
        <w:instrText>REF _Ref82071570 \r \h</w:instrText>
      </w:r>
      <w:r w:rsidRPr="00FB5D9D">
        <w:rPr>
          <w:lang w:val="en-GB"/>
        </w:rPr>
      </w:r>
      <w:r>
        <w:rPr>
          <w:lang w:val="en-GB"/>
        </w:rPr>
        <w:instrText xml:space="preserve"> \* MERGEFORMAT </w:instrText>
      </w:r>
      <w:r w:rsidRPr="00FB5D9D">
        <w:rPr>
          <w:lang w:val="en-GB"/>
        </w:rPr>
        <w:fldChar w:fldCharType="separate"/>
      </w:r>
      <w:r w:rsidRPr="00FB5D9D">
        <w:rPr>
          <w:lang w:val="en-GB"/>
        </w:rPr>
        <w:t>12</w:t>
      </w:r>
      <w:r w:rsidRPr="00FB5D9D">
        <w:rPr>
          <w:lang w:val="en-GB"/>
        </w:rPr>
        <w:fldChar w:fldCharType="end"/>
      </w:r>
      <w:r w:rsidRPr="00FB5D9D">
        <w:rPr>
          <w:lang w:val="en-GB"/>
        </w:rPr>
        <w:t>,</w:t>
      </w:r>
      <w:r w:rsidRPr="00FB5D9D">
        <w:rPr>
          <w:lang w:val="en-GB"/>
        </w:rPr>
        <w:fldChar w:fldCharType="begin"/>
      </w:r>
      <w:r w:rsidRPr="00FB5D9D">
        <w:rPr>
          <w:lang w:val="en-GB"/>
        </w:rPr>
        <w:instrText>REF _Ref82072729 \r \h</w:instrText>
      </w:r>
      <w:r w:rsidRPr="00FB5D9D">
        <w:rPr>
          <w:lang w:val="en-GB"/>
        </w:rPr>
      </w:r>
      <w:r>
        <w:rPr>
          <w:lang w:val="en-GB"/>
        </w:rPr>
        <w:instrText xml:space="preserve"> \* MERGEFORMAT </w:instrText>
      </w:r>
      <w:r w:rsidRPr="00FB5D9D">
        <w:rPr>
          <w:lang w:val="en-GB"/>
        </w:rPr>
        <w:fldChar w:fldCharType="separate"/>
      </w:r>
      <w:r w:rsidRPr="00FB5D9D">
        <w:rPr>
          <w:lang w:val="en-GB"/>
        </w:rPr>
        <w:t>16</w:t>
      </w:r>
      <w:r w:rsidRPr="00FB5D9D">
        <w:rPr>
          <w:lang w:val="en-GB"/>
        </w:rPr>
        <w:fldChar w:fldCharType="end"/>
      </w:r>
      <w:r w:rsidRPr="00FB5D9D">
        <w:rPr>
          <w:lang w:val="en-GB"/>
        </w:rPr>
        <w:t xml:space="preserve">]. With specific reference to spintronic applications, the </w:t>
      </w:r>
      <w:r w:rsidRPr="00FB5D9D">
        <w:rPr>
          <w:rFonts w:ascii="Times New Roman" w:hAnsi="Times New Roman"/>
          <w:lang/>
        </w:rPr>
        <w:t>ability</w:t>
      </w:r>
      <w:r w:rsidRPr="00FB5D9D">
        <w:rPr>
          <w:lang w:val="en-GB"/>
        </w:rPr>
        <w:t xml:space="preserve"> </w:t>
      </w:r>
      <w:r w:rsidRPr="00FB5D9D">
        <w:rPr>
          <w:rFonts w:ascii="Times New Roman" w:hAnsi="Times New Roman"/>
          <w:lang/>
        </w:rPr>
        <w:t>to</w:t>
      </w:r>
      <w:r w:rsidRPr="00FB5D9D">
        <w:rPr>
          <w:lang w:val="en-GB"/>
        </w:rPr>
        <w:t xml:space="preserve"> finely tun</w:t>
      </w:r>
      <w:r w:rsidRPr="00FB5D9D">
        <w:rPr>
          <w:rFonts w:ascii="Times New Roman" w:hAnsi="Times New Roman"/>
          <w:lang/>
        </w:rPr>
        <w:t>e</w:t>
      </w:r>
      <w:r w:rsidRPr="00FB5D9D">
        <w:rPr>
          <w:lang w:val="en-GB"/>
        </w:rPr>
        <w:t xml:space="preserve"> the adsorbate/substrate spin interaction is crucial, </w:t>
      </w:r>
      <w:r w:rsidRPr="00FB5D9D">
        <w:rPr>
          <w:rFonts w:ascii="Times New Roman" w:hAnsi="Times New Roman"/>
          <w:lang/>
        </w:rPr>
        <w:t>demanding a detailed</w:t>
      </w:r>
      <w:r w:rsidRPr="00FB5D9D">
        <w:rPr>
          <w:lang w:val="en-GB"/>
        </w:rPr>
        <w:t xml:space="preserve"> understanding  of the interphase electronic properties . In this contest, recent studies [</w:t>
      </w:r>
      <w:r w:rsidRPr="00FB5D9D">
        <w:rPr>
          <w:lang w:val="en-GB"/>
        </w:rPr>
        <w:fldChar w:fldCharType="begin"/>
      </w:r>
      <w:r w:rsidRPr="00FB5D9D">
        <w:rPr>
          <w:lang w:val="en-GB"/>
        </w:rPr>
        <w:instrText>REF _Ref82087897 \r \h</w:instrText>
      </w:r>
      <w:r w:rsidRPr="00FB5D9D">
        <w:rPr>
          <w:lang w:val="en-GB"/>
        </w:rPr>
      </w:r>
      <w:r>
        <w:rPr>
          <w:lang w:val="en-GB"/>
        </w:rPr>
        <w:instrText xml:space="preserve"> \* MERGEFORMAT </w:instrText>
      </w:r>
      <w:r w:rsidRPr="00FB5D9D">
        <w:rPr>
          <w:lang w:val="en-GB"/>
        </w:rPr>
        <w:fldChar w:fldCharType="separate"/>
      </w:r>
      <w:r w:rsidRPr="00FB5D9D">
        <w:rPr>
          <w:lang w:val="en-GB"/>
        </w:rPr>
        <w:t>17</w:t>
      </w:r>
      <w:r w:rsidRPr="00FB5D9D">
        <w:rPr>
          <w:lang w:val="en-GB"/>
        </w:rPr>
        <w:fldChar w:fldCharType="end"/>
      </w:r>
      <w:r w:rsidRPr="00FB5D9D">
        <w:rPr>
          <w:lang w:val="en-GB"/>
        </w:rPr>
        <w:t xml:space="preserve">] have </w:t>
      </w:r>
      <w:r w:rsidRPr="00FB5D9D">
        <w:rPr>
          <w:rFonts w:ascii="Times New Roman" w:hAnsi="Times New Roman"/>
          <w:lang/>
        </w:rPr>
        <w:t>shown</w:t>
      </w:r>
      <w:r w:rsidRPr="00FB5D9D">
        <w:rPr>
          <w:lang w:val="en-GB"/>
        </w:rPr>
        <w:t xml:space="preserve"> that </w:t>
      </w:r>
      <w:r w:rsidRPr="00FB5D9D">
        <w:rPr>
          <w:rFonts w:ascii="Times New Roman" w:hAnsi="Times New Roman"/>
          <w:lang/>
        </w:rPr>
        <w:t>also</w:t>
      </w:r>
      <w:r w:rsidRPr="00FB5D9D">
        <w:rPr>
          <w:lang w:val="en-GB"/>
        </w:rPr>
        <w:t xml:space="preserve"> a chemical stimulus, such as the occupation of a M coordinative vacancy by a small molecule L, may be exploited to control the interphase magnetic properties </w:t>
      </w:r>
      <w:r w:rsidRPr="00FB5D9D">
        <w:rPr>
          <w:rFonts w:ascii="Times New Roman" w:hAnsi="Times New Roman"/>
          <w:lang/>
        </w:rPr>
        <w:t>by</w:t>
      </w:r>
      <w:r w:rsidRPr="00FB5D9D">
        <w:rPr>
          <w:lang w:val="en-GB"/>
        </w:rPr>
        <w:t xml:space="preserve"> “switch</w:t>
      </w:r>
      <w:r w:rsidRPr="00FB5D9D">
        <w:rPr>
          <w:rFonts w:ascii="Times New Roman" w:hAnsi="Times New Roman"/>
          <w:lang/>
        </w:rPr>
        <w:t>ing</w:t>
      </w:r>
      <w:r w:rsidRPr="00FB5D9D">
        <w:rPr>
          <w:lang w:val="en-GB"/>
        </w:rPr>
        <w:t xml:space="preserve"> on”/”switch</w:t>
      </w:r>
      <w:r w:rsidRPr="00FB5D9D">
        <w:rPr>
          <w:rFonts w:ascii="Times New Roman" w:hAnsi="Times New Roman"/>
          <w:lang/>
        </w:rPr>
        <w:t>ing</w:t>
      </w:r>
      <w:r w:rsidRPr="00FB5D9D">
        <w:rPr>
          <w:lang w:val="en-GB"/>
        </w:rPr>
        <w:t xml:space="preserve"> off” the spin interactions </w:t>
      </w:r>
      <w:r w:rsidRPr="00FB5D9D">
        <w:rPr>
          <w:rFonts w:ascii="Times New Roman" w:hAnsi="Times New Roman"/>
          <w:lang/>
        </w:rPr>
        <w:t>between</w:t>
      </w:r>
      <w:r w:rsidRPr="00FB5D9D">
        <w:rPr>
          <w:lang w:val="en-GB"/>
        </w:rPr>
        <w:t xml:space="preserve"> L, M and the substrate (S) [</w:t>
      </w:r>
      <w:r w:rsidRPr="00FB5D9D">
        <w:rPr>
          <w:lang w:val="en-GB"/>
        </w:rPr>
        <w:fldChar w:fldCharType="begin"/>
      </w:r>
      <w:r w:rsidRPr="00FB5D9D">
        <w:rPr>
          <w:lang w:val="en-GB"/>
        </w:rPr>
        <w:instrText>REF _Ref82088372 \r \h</w:instrText>
      </w:r>
      <w:r w:rsidRPr="00FB5D9D">
        <w:rPr>
          <w:lang w:val="en-GB"/>
        </w:rPr>
      </w:r>
      <w:r>
        <w:rPr>
          <w:lang w:val="en-GB"/>
        </w:rPr>
        <w:instrText xml:space="preserve"> \* MERGEFORMAT </w:instrText>
      </w:r>
      <w:r w:rsidRPr="00FB5D9D">
        <w:rPr>
          <w:lang w:val="en-GB"/>
        </w:rPr>
        <w:fldChar w:fldCharType="separate"/>
      </w:r>
      <w:r w:rsidRPr="00FB5D9D">
        <w:rPr>
          <w:lang w:val="en-GB"/>
        </w:rPr>
        <w:t>18</w:t>
      </w:r>
      <w:r w:rsidRPr="00FB5D9D">
        <w:rPr>
          <w:lang w:val="en-GB"/>
        </w:rPr>
        <w:fldChar w:fldCharType="end"/>
      </w:r>
      <w:r w:rsidRPr="00FB5D9D">
        <w:rPr>
          <w:lang w:val="en-GB"/>
        </w:rPr>
        <w:t>-</w:t>
      </w:r>
      <w:r w:rsidRPr="00FB5D9D">
        <w:rPr>
          <w:lang w:val="en-GB"/>
        </w:rPr>
        <w:fldChar w:fldCharType="begin"/>
      </w:r>
      <w:r w:rsidRPr="00FB5D9D">
        <w:rPr>
          <w:lang w:val="en-GB"/>
        </w:rPr>
        <w:instrText>REF _Ref82088376 \r \h</w:instrText>
      </w:r>
      <w:r w:rsidRPr="00FB5D9D">
        <w:rPr>
          <w:lang w:val="en-GB"/>
        </w:rPr>
      </w:r>
      <w:r>
        <w:rPr>
          <w:lang w:val="en-GB"/>
        </w:rPr>
        <w:instrText xml:space="preserve"> \* MERGEFORMAT </w:instrText>
      </w:r>
      <w:r w:rsidRPr="00FB5D9D">
        <w:rPr>
          <w:lang w:val="en-GB"/>
        </w:rPr>
        <w:fldChar w:fldCharType="separate"/>
      </w:r>
      <w:r w:rsidRPr="00FB5D9D">
        <w:rPr>
          <w:lang w:val="en-GB"/>
        </w:rPr>
        <w:t>22</w:t>
      </w:r>
      <w:r w:rsidRPr="00FB5D9D">
        <w:rPr>
          <w:lang w:val="en-GB"/>
        </w:rPr>
        <w:fldChar w:fldCharType="end"/>
      </w:r>
      <w:r w:rsidRPr="00FB5D9D">
        <w:rPr>
          <w:lang w:val="en-GB"/>
        </w:rPr>
        <w:t>].</w:t>
      </w:r>
      <w:r w:rsidRPr="00FB5D9D">
        <w:rPr>
          <w:szCs w:val="19"/>
          <w:lang w:val="en-GB"/>
        </w:rPr>
        <w:t xml:space="preserve"> </w:t>
      </w:r>
      <w:r w:rsidRPr="00FB5D9D">
        <w:rPr>
          <w:lang w:val="en-GB"/>
        </w:rPr>
        <w:t xml:space="preserve">As such, the competition between the S–M and the M–L interactions has </w:t>
      </w:r>
      <w:r w:rsidRPr="00FB5D9D">
        <w:rPr>
          <w:rFonts w:ascii="Times New Roman" w:hAnsi="Times New Roman"/>
          <w:lang/>
        </w:rPr>
        <w:t xml:space="preserve">frequently referred to </w:t>
      </w:r>
      <w:r w:rsidRPr="00FB5D9D">
        <w:rPr>
          <w:lang w:val="en-GB"/>
        </w:rPr>
        <w:t>as the surface spin-</w:t>
      </w:r>
      <w:r w:rsidRPr="00FB5D9D">
        <w:rPr>
          <w:i/>
          <w:lang w:val="en-GB"/>
        </w:rPr>
        <w:t>trans</w:t>
      </w:r>
      <w:r w:rsidRPr="00FB5D9D">
        <w:rPr>
          <w:lang w:val="en-GB"/>
        </w:rPr>
        <w:t xml:space="preserve"> effect or more simply as the </w:t>
      </w:r>
      <w:r w:rsidRPr="00FB5D9D">
        <w:rPr>
          <w:i/>
          <w:lang w:val="en-GB"/>
        </w:rPr>
        <w:t>trans</w:t>
      </w:r>
      <w:r w:rsidRPr="00FB5D9D">
        <w:rPr>
          <w:lang w:val="en-GB"/>
        </w:rPr>
        <w:t xml:space="preserve">-effect </w:t>
      </w:r>
      <w:r w:rsidRPr="00FB5D9D">
        <w:rPr>
          <w:lang w:val="en-GB"/>
        </w:rPr>
        <w:lastRenderedPageBreak/>
        <w:t>[</w:t>
      </w:r>
      <w:r w:rsidRPr="00FB5D9D">
        <w:rPr>
          <w:lang w:val="en-GB"/>
        </w:rPr>
        <w:fldChar w:fldCharType="begin"/>
      </w:r>
      <w:r w:rsidRPr="00FB5D9D">
        <w:rPr>
          <w:lang w:val="en-GB"/>
        </w:rPr>
        <w:instrText>REF _Ref82088877 \r \h</w:instrText>
      </w:r>
      <w:r w:rsidRPr="00FB5D9D">
        <w:rPr>
          <w:lang w:val="en-GB"/>
        </w:rPr>
      </w:r>
      <w:r>
        <w:rPr>
          <w:lang w:val="en-GB"/>
        </w:rPr>
        <w:instrText xml:space="preserve"> \* MERGEFORMAT </w:instrText>
      </w:r>
      <w:r w:rsidRPr="00FB5D9D">
        <w:rPr>
          <w:lang w:val="en-GB"/>
        </w:rPr>
        <w:fldChar w:fldCharType="separate"/>
      </w:r>
      <w:r w:rsidRPr="00FB5D9D">
        <w:rPr>
          <w:lang w:val="en-GB"/>
        </w:rPr>
        <w:t>23</w:t>
      </w:r>
      <w:r w:rsidRPr="00FB5D9D">
        <w:rPr>
          <w:lang w:val="en-GB"/>
        </w:rPr>
        <w:fldChar w:fldCharType="end"/>
      </w:r>
      <w:r w:rsidRPr="00FB5D9D">
        <w:rPr>
          <w:lang w:val="en-GB"/>
        </w:rPr>
        <w:t>-</w:t>
      </w:r>
      <w:r w:rsidRPr="00FB5D9D">
        <w:rPr>
          <w:lang w:val="en-GB"/>
        </w:rPr>
        <w:fldChar w:fldCharType="begin"/>
      </w:r>
      <w:r w:rsidRPr="00FB5D9D">
        <w:rPr>
          <w:lang w:val="en-GB"/>
        </w:rPr>
        <w:instrText>REF _Ref82088879 \r \h</w:instrText>
      </w:r>
      <w:r w:rsidRPr="00FB5D9D">
        <w:rPr>
          <w:lang w:val="en-GB"/>
        </w:rPr>
      </w:r>
      <w:r>
        <w:rPr>
          <w:lang w:val="en-GB"/>
        </w:rPr>
        <w:instrText xml:space="preserve"> \* MERGEFORMAT </w:instrText>
      </w:r>
      <w:r w:rsidRPr="00FB5D9D">
        <w:rPr>
          <w:lang w:val="en-GB"/>
        </w:rPr>
        <w:fldChar w:fldCharType="separate"/>
      </w:r>
      <w:r w:rsidRPr="00FB5D9D">
        <w:rPr>
          <w:lang w:val="en-GB"/>
        </w:rPr>
        <w:t>24</w:t>
      </w:r>
      <w:r w:rsidRPr="00FB5D9D">
        <w:rPr>
          <w:lang w:val="en-GB"/>
        </w:rPr>
        <w:fldChar w:fldCharType="end"/>
      </w:r>
      <w:r w:rsidRPr="00FB5D9D">
        <w:rPr>
          <w:lang w:val="en-GB"/>
        </w:rPr>
        <w:t xml:space="preserve">]. Per se, it is noteworthy that, even </w:t>
      </w:r>
      <w:r w:rsidRPr="00FB5D9D">
        <w:rPr>
          <w:rFonts w:ascii="Times New Roman" w:hAnsi="Times New Roman"/>
          <w:lang/>
        </w:rPr>
        <w:t xml:space="preserve">when </w:t>
      </w:r>
      <w:r w:rsidRPr="00FB5D9D">
        <w:rPr>
          <w:lang w:val="en-GB"/>
        </w:rPr>
        <w:t>dealing with the same MP/MPc surface-supported on the same S, diverse L may generate diverse magnetic behaviours [</w:t>
      </w:r>
      <w:r w:rsidRPr="00FB5D9D">
        <w:rPr>
          <w:lang w:val="en-GB"/>
        </w:rPr>
        <w:fldChar w:fldCharType="begin"/>
      </w:r>
      <w:r w:rsidRPr="00FB5D9D">
        <w:rPr>
          <w:lang w:val="en-GB"/>
        </w:rPr>
        <w:instrText>REF _Ref82088372 \r \h</w:instrText>
      </w:r>
      <w:r w:rsidRPr="00FB5D9D">
        <w:rPr>
          <w:lang w:val="en-GB"/>
        </w:rPr>
      </w:r>
      <w:r>
        <w:rPr>
          <w:lang w:val="en-GB"/>
        </w:rPr>
        <w:instrText xml:space="preserve"> \* MERGEFORMAT </w:instrText>
      </w:r>
      <w:r w:rsidRPr="00FB5D9D">
        <w:rPr>
          <w:lang w:val="en-GB"/>
        </w:rPr>
        <w:fldChar w:fldCharType="separate"/>
      </w:r>
      <w:r w:rsidRPr="00FB5D9D">
        <w:rPr>
          <w:lang w:val="en-GB"/>
        </w:rPr>
        <w:t>18</w:t>
      </w:r>
      <w:r w:rsidRPr="00FB5D9D">
        <w:rPr>
          <w:lang w:val="en-GB"/>
        </w:rPr>
        <w:fldChar w:fldCharType="end"/>
      </w:r>
      <w:r w:rsidRPr="00FB5D9D">
        <w:rPr>
          <w:lang w:val="en-GB"/>
        </w:rPr>
        <w:t>-</w:t>
      </w:r>
      <w:r w:rsidRPr="00FB5D9D">
        <w:rPr>
          <w:lang w:val="en-GB"/>
        </w:rPr>
        <w:fldChar w:fldCharType="begin"/>
      </w:r>
      <w:r w:rsidRPr="00FB5D9D">
        <w:rPr>
          <w:lang w:val="en-GB"/>
        </w:rPr>
        <w:instrText>REF _Ref82088965 \r \h</w:instrText>
      </w:r>
      <w:r w:rsidRPr="00FB5D9D">
        <w:rPr>
          <w:lang w:val="en-GB"/>
        </w:rPr>
      </w:r>
      <w:r>
        <w:rPr>
          <w:lang w:val="en-GB"/>
        </w:rPr>
        <w:instrText xml:space="preserve"> \* MERGEFORMAT </w:instrText>
      </w:r>
      <w:r w:rsidRPr="00FB5D9D">
        <w:rPr>
          <w:lang w:val="en-GB"/>
        </w:rPr>
        <w:fldChar w:fldCharType="separate"/>
      </w:r>
      <w:r w:rsidRPr="00FB5D9D">
        <w:rPr>
          <w:lang w:val="en-GB"/>
        </w:rPr>
        <w:t>21</w:t>
      </w:r>
      <w:r w:rsidRPr="00FB5D9D">
        <w:rPr>
          <w:lang w:val="en-GB"/>
        </w:rPr>
        <w:fldChar w:fldCharType="end"/>
      </w:r>
      <w:r w:rsidRPr="00FB5D9D">
        <w:rPr>
          <w:lang w:val="en-GB"/>
        </w:rPr>
        <w:t xml:space="preserve">, </w:t>
      </w:r>
      <w:r w:rsidRPr="00FB5D9D">
        <w:rPr>
          <w:lang w:val="en-GB"/>
        </w:rPr>
        <w:fldChar w:fldCharType="begin"/>
      </w:r>
      <w:r w:rsidRPr="00FB5D9D">
        <w:rPr>
          <w:lang w:val="en-GB"/>
        </w:rPr>
        <w:instrText>REF _Ref82089106 \r \h</w:instrText>
      </w:r>
      <w:r w:rsidRPr="00FB5D9D">
        <w:rPr>
          <w:lang w:val="en-GB"/>
        </w:rPr>
      </w:r>
      <w:r>
        <w:rPr>
          <w:lang w:val="en-GB"/>
        </w:rPr>
        <w:instrText xml:space="preserve"> \* MERGEFORMAT </w:instrText>
      </w:r>
      <w:r w:rsidRPr="00FB5D9D">
        <w:rPr>
          <w:lang w:val="en-GB"/>
        </w:rPr>
        <w:fldChar w:fldCharType="separate"/>
      </w:r>
      <w:r w:rsidRPr="00FB5D9D">
        <w:rPr>
          <w:lang w:val="en-GB"/>
        </w:rPr>
        <w:t>25</w:t>
      </w:r>
      <w:r w:rsidRPr="00FB5D9D">
        <w:rPr>
          <w:lang w:val="en-GB"/>
        </w:rPr>
        <w:fldChar w:fldCharType="end"/>
      </w:r>
      <w:r w:rsidRPr="00FB5D9D">
        <w:rPr>
          <w:lang w:val="en-GB"/>
        </w:rPr>
        <w:t>]. A quantum mechanical modelling of the S–MP–L (S–MPc–L) interphase electronic properties might then be a promising alternative to an inefficient trial</w:t>
      </w:r>
      <w:r w:rsidRPr="00FB5D9D">
        <w:rPr>
          <w:rFonts w:ascii="Times New Roman" w:hAnsi="Times New Roman"/>
          <w:lang/>
        </w:rPr>
        <w:t>-</w:t>
      </w:r>
      <w:r w:rsidRPr="00FB5D9D">
        <w:rPr>
          <w:lang w:val="en-GB"/>
        </w:rPr>
        <w:t>and</w:t>
      </w:r>
      <w:r w:rsidRPr="00FB5D9D">
        <w:rPr>
          <w:rFonts w:ascii="Times New Roman" w:hAnsi="Times New Roman"/>
          <w:lang/>
        </w:rPr>
        <w:t>-</w:t>
      </w:r>
      <w:r w:rsidRPr="00FB5D9D">
        <w:rPr>
          <w:lang w:val="en-GB"/>
        </w:rPr>
        <w:t xml:space="preserve">error approach </w:t>
      </w:r>
      <w:r w:rsidRPr="00FB5D9D">
        <w:rPr>
          <w:rFonts w:ascii="Times New Roman" w:hAnsi="Times New Roman"/>
          <w:lang/>
        </w:rPr>
        <w:t>for</w:t>
      </w:r>
      <w:r w:rsidRPr="00FB5D9D">
        <w:rPr>
          <w:lang w:val="en-GB"/>
        </w:rPr>
        <w:t xml:space="preserve"> </w:t>
      </w:r>
      <w:r w:rsidRPr="00FB5D9D">
        <w:rPr>
          <w:rFonts w:ascii="Times New Roman" w:hAnsi="Times New Roman"/>
          <w:lang/>
        </w:rPr>
        <w:t>designing</w:t>
      </w:r>
      <w:r w:rsidRPr="00FB5D9D">
        <w:rPr>
          <w:lang w:val="en-GB"/>
        </w:rPr>
        <w:t xml:space="preserve"> new spintronic/magnetic devices [</w:t>
      </w:r>
      <w:r w:rsidRPr="00FB5D9D">
        <w:rPr>
          <w:lang w:val="en-GB"/>
        </w:rPr>
        <w:fldChar w:fldCharType="begin"/>
      </w:r>
      <w:r w:rsidRPr="00FB5D9D">
        <w:rPr>
          <w:lang w:val="en-GB"/>
        </w:rPr>
        <w:instrText>REF _Ref82072524 \r \h</w:instrText>
      </w:r>
      <w:r w:rsidRPr="00FB5D9D">
        <w:rPr>
          <w:lang w:val="en-GB"/>
        </w:rPr>
      </w:r>
      <w:r>
        <w:rPr>
          <w:lang w:val="en-GB"/>
        </w:rPr>
        <w:instrText xml:space="preserve"> \* MERGEFORMAT </w:instrText>
      </w:r>
      <w:r w:rsidRPr="00FB5D9D">
        <w:rPr>
          <w:lang w:val="en-GB"/>
        </w:rPr>
        <w:fldChar w:fldCharType="separate"/>
      </w:r>
      <w:r w:rsidRPr="00FB5D9D">
        <w:rPr>
          <w:lang w:val="en-GB"/>
        </w:rPr>
        <w:t>14</w:t>
      </w:r>
      <w:r w:rsidRPr="00FB5D9D">
        <w:rPr>
          <w:lang w:val="en-GB"/>
        </w:rPr>
        <w:fldChar w:fldCharType="end"/>
      </w:r>
      <w:r w:rsidRPr="00FB5D9D">
        <w:rPr>
          <w:lang w:val="en-GB"/>
        </w:rPr>
        <w:t>-</w:t>
      </w:r>
      <w:r w:rsidRPr="00FB5D9D">
        <w:rPr>
          <w:lang w:val="en-GB"/>
        </w:rPr>
        <w:fldChar w:fldCharType="begin"/>
      </w:r>
      <w:r w:rsidRPr="00FB5D9D">
        <w:rPr>
          <w:lang w:val="en-GB"/>
        </w:rPr>
        <w:instrText>REF _Ref82072525 \r \h</w:instrText>
      </w:r>
      <w:r w:rsidRPr="00FB5D9D">
        <w:rPr>
          <w:lang w:val="en-GB"/>
        </w:rPr>
      </w:r>
      <w:r>
        <w:rPr>
          <w:lang w:val="en-GB"/>
        </w:rPr>
        <w:instrText xml:space="preserve"> \* MERGEFORMAT </w:instrText>
      </w:r>
      <w:r w:rsidRPr="00FB5D9D">
        <w:rPr>
          <w:lang w:val="en-GB"/>
        </w:rPr>
        <w:fldChar w:fldCharType="separate"/>
      </w:r>
      <w:r w:rsidRPr="00FB5D9D">
        <w:rPr>
          <w:lang w:val="en-GB"/>
        </w:rPr>
        <w:t>15</w:t>
      </w:r>
      <w:r w:rsidRPr="00FB5D9D">
        <w:rPr>
          <w:lang w:val="en-GB"/>
        </w:rPr>
        <w:fldChar w:fldCharType="end"/>
      </w:r>
      <w:r w:rsidRPr="00FB5D9D">
        <w:rPr>
          <w:lang w:val="en-GB"/>
        </w:rPr>
        <w:t xml:space="preserve">]. </w:t>
      </w:r>
    </w:p>
    <w:p w:rsidR="00FB5D9D" w:rsidRPr="00FB5D9D" w:rsidRDefault="00FB5D9D" w:rsidP="00FB5D9D">
      <w:pPr>
        <w:pStyle w:val="MDPI31text"/>
        <w:rPr>
          <w:lang w:val="en-GB"/>
        </w:rPr>
      </w:pPr>
      <w:r w:rsidRPr="00FB5D9D">
        <w:rPr>
          <w:lang w:val="en-GB"/>
        </w:rPr>
        <w:t>In general, numerical experiments carried out by combining the density functional theory (DFT) with the supercell approximation (periodic DFT calculations) provide very accurate results, thus allowing to gain insights into the molecular, electronic andmagnetic properties of the surface-supported MP and MPc [</w:t>
      </w:r>
      <w:r w:rsidRPr="00FB5D9D">
        <w:rPr>
          <w:lang w:val="en-GB"/>
        </w:rPr>
        <w:fldChar w:fldCharType="begin"/>
      </w:r>
      <w:r w:rsidRPr="00FB5D9D">
        <w:rPr>
          <w:lang w:val="en-GB"/>
        </w:rPr>
        <w:instrText xml:space="preserve"> REF _Ref82089106 \r \h </w:instrText>
      </w:r>
      <w:r w:rsidRPr="00FB5D9D">
        <w:rPr>
          <w:lang w:val="en-GB"/>
        </w:rPr>
      </w:r>
      <w:r>
        <w:rPr>
          <w:lang w:val="en-GB"/>
        </w:rPr>
        <w:instrText xml:space="preserve"> \* MERGEFORMAT </w:instrText>
      </w:r>
      <w:r w:rsidRPr="00FB5D9D">
        <w:rPr>
          <w:lang w:val="en-GB"/>
        </w:rPr>
        <w:fldChar w:fldCharType="separate"/>
      </w:r>
      <w:r w:rsidRPr="00FB5D9D">
        <w:rPr>
          <w:lang w:val="en-GB"/>
        </w:rPr>
        <w:t>25</w:t>
      </w:r>
      <w:r w:rsidRPr="00FB5D9D">
        <w:rPr>
          <w:lang w:val="en-GB"/>
        </w:rPr>
        <w:fldChar w:fldCharType="end"/>
      </w:r>
      <w:r w:rsidRPr="00FB5D9D">
        <w:rPr>
          <w:lang w:val="en-GB"/>
        </w:rPr>
        <w:t xml:space="preserve">]. Nevertheless, a major drawback of such an approach concerns its computational cost, which may become prohibitive when several degrees of freedom are considered, or a defective surface is tackled. </w:t>
      </w:r>
      <w:r w:rsidRPr="00FB5D9D">
        <w:rPr>
          <w:rFonts w:ascii="Times New Roman" w:hAnsi="Times New Roman"/>
          <w:lang/>
        </w:rPr>
        <w:t>The m</w:t>
      </w:r>
      <w:r w:rsidRPr="00FB5D9D">
        <w:rPr>
          <w:lang w:val="en-GB"/>
        </w:rPr>
        <w:t>agnetic properties of surface-supported MP and MPc are mainly associate</w:t>
      </w:r>
      <w:r w:rsidRPr="00FB5D9D">
        <w:rPr>
          <w:rFonts w:ascii="Times New Roman" w:hAnsi="Times New Roman"/>
          <w:lang/>
        </w:rPr>
        <w:t xml:space="preserve">d with </w:t>
      </w:r>
      <w:r w:rsidRPr="00FB5D9D">
        <w:rPr>
          <w:lang w:val="en-GB"/>
        </w:rPr>
        <w:t>the M oxidation and spin states [</w:t>
      </w:r>
      <w:r w:rsidRPr="00FB5D9D">
        <w:rPr>
          <w:lang w:val="en-GB"/>
        </w:rPr>
        <w:fldChar w:fldCharType="begin"/>
      </w:r>
      <w:r w:rsidRPr="00FB5D9D">
        <w:rPr>
          <w:lang w:val="en-GB"/>
        </w:rPr>
        <w:instrText>REF _Ref82089609 \r \h</w:instrText>
      </w:r>
      <w:r w:rsidRPr="00FB5D9D">
        <w:rPr>
          <w:lang w:val="en-GB"/>
        </w:rPr>
      </w:r>
      <w:r>
        <w:rPr>
          <w:lang w:val="en-GB"/>
        </w:rPr>
        <w:instrText xml:space="preserve"> \* MERGEFORMAT </w:instrText>
      </w:r>
      <w:r w:rsidRPr="00FB5D9D">
        <w:rPr>
          <w:lang w:val="en-GB"/>
        </w:rPr>
        <w:fldChar w:fldCharType="separate"/>
      </w:r>
      <w:r w:rsidRPr="00FB5D9D">
        <w:rPr>
          <w:lang w:val="en-GB"/>
        </w:rPr>
        <w:t>26</w:t>
      </w:r>
      <w:r w:rsidRPr="00FB5D9D">
        <w:rPr>
          <w:lang w:val="en-GB"/>
        </w:rPr>
        <w:fldChar w:fldCharType="end"/>
      </w:r>
      <w:r w:rsidRPr="00FB5D9D">
        <w:rPr>
          <w:lang w:val="en-GB"/>
        </w:rPr>
        <w:t>]</w:t>
      </w:r>
      <w:r w:rsidRPr="00FB5D9D">
        <w:rPr>
          <w:rFonts w:ascii="Times New Roman" w:hAnsi="Times New Roman"/>
          <w:lang/>
        </w:rPr>
        <w:t>,</w:t>
      </w:r>
      <w:r w:rsidRPr="00FB5D9D">
        <w:rPr>
          <w:lang w:val="en-GB"/>
        </w:rPr>
        <w:t xml:space="preserve"> i.e., </w:t>
      </w:r>
      <w:r w:rsidRPr="00FB5D9D">
        <w:rPr>
          <w:rFonts w:ascii="Times New Roman" w:hAnsi="Times New Roman"/>
          <w:lang/>
        </w:rPr>
        <w:t>with</w:t>
      </w:r>
      <w:r w:rsidRPr="00FB5D9D">
        <w:rPr>
          <w:lang w:val="en-GB"/>
        </w:rPr>
        <w:t xml:space="preserve"> highly localized properties whose modelling within the molecular cluster approximation </w:t>
      </w:r>
      <w:r w:rsidRPr="00FB5D9D">
        <w:rPr>
          <w:rFonts w:ascii="Times New Roman" w:hAnsi="Times New Roman"/>
          <w:lang/>
        </w:rPr>
        <w:t>is</w:t>
      </w:r>
      <w:r w:rsidRPr="00FB5D9D">
        <w:rPr>
          <w:lang w:val="en-GB"/>
        </w:rPr>
        <w:t xml:space="preserve"> not only computationally cheaper than the ordinary periodic model but also physically reasonable [</w:t>
      </w:r>
      <w:r w:rsidRPr="00FB5D9D">
        <w:rPr>
          <w:lang w:val="en-GB"/>
        </w:rPr>
        <w:fldChar w:fldCharType="begin"/>
      </w:r>
      <w:r w:rsidRPr="00FB5D9D">
        <w:rPr>
          <w:lang w:val="en-GB"/>
        </w:rPr>
        <w:instrText>REF _Ref82089973 \r \h</w:instrText>
      </w:r>
      <w:r w:rsidRPr="00FB5D9D">
        <w:rPr>
          <w:lang w:val="en-GB"/>
        </w:rPr>
      </w:r>
      <w:r>
        <w:rPr>
          <w:lang w:val="en-GB"/>
        </w:rPr>
        <w:instrText xml:space="preserve"> \* MERGEFORMAT </w:instrText>
      </w:r>
      <w:r w:rsidRPr="00FB5D9D">
        <w:rPr>
          <w:lang w:val="en-GB"/>
        </w:rPr>
        <w:fldChar w:fldCharType="separate"/>
      </w:r>
      <w:r w:rsidRPr="00FB5D9D">
        <w:rPr>
          <w:lang w:val="en-GB"/>
        </w:rPr>
        <w:t>27</w:t>
      </w:r>
      <w:r w:rsidRPr="00FB5D9D">
        <w:rPr>
          <w:lang w:val="en-GB"/>
        </w:rPr>
        <w:fldChar w:fldCharType="end"/>
      </w:r>
      <w:r w:rsidRPr="00FB5D9D">
        <w:rPr>
          <w:lang w:val="en-GB"/>
        </w:rPr>
        <w:t>]. As a matter of fact, the molecular cluster approach allows to look “into the changes in the local bonding situation at the metal centre upon coordination” and “has the advantage that a direct connection to molecular coordination chemistry can be made” [</w:t>
      </w:r>
      <w:r w:rsidRPr="00FB5D9D">
        <w:rPr>
          <w:lang w:val="en-GB"/>
        </w:rPr>
        <w:fldChar w:fldCharType="begin"/>
      </w:r>
      <w:r w:rsidRPr="00FB5D9D">
        <w:rPr>
          <w:lang w:val="en-GB"/>
        </w:rPr>
        <w:instrText>REF _Ref82089106 \r \h</w:instrText>
      </w:r>
      <w:r w:rsidRPr="00FB5D9D">
        <w:rPr>
          <w:lang w:val="en-GB"/>
        </w:rPr>
      </w:r>
      <w:r>
        <w:rPr>
          <w:lang w:val="en-GB"/>
        </w:rPr>
        <w:instrText xml:space="preserve"> \* MERGEFORMAT </w:instrText>
      </w:r>
      <w:r w:rsidRPr="00FB5D9D">
        <w:rPr>
          <w:lang w:val="en-GB"/>
        </w:rPr>
        <w:fldChar w:fldCharType="separate"/>
      </w:r>
      <w:r w:rsidRPr="00FB5D9D">
        <w:rPr>
          <w:lang w:val="en-GB"/>
        </w:rPr>
        <w:t>25</w:t>
      </w:r>
      <w:r w:rsidRPr="00FB5D9D">
        <w:rPr>
          <w:lang w:val="en-GB"/>
        </w:rPr>
        <w:fldChar w:fldCharType="end"/>
      </w:r>
      <w:r w:rsidRPr="00FB5D9D">
        <w:rPr>
          <w:lang w:val="en-GB"/>
        </w:rPr>
        <w:t xml:space="preserve">]. </w:t>
      </w:r>
    </w:p>
    <w:p w:rsidR="00FB5D9D" w:rsidRPr="00FB5D9D" w:rsidRDefault="00FB5D9D" w:rsidP="00FB5D9D">
      <w:pPr>
        <w:pStyle w:val="MDPI31text"/>
        <w:rPr>
          <w:lang w:val="en-GB"/>
        </w:rPr>
      </w:pPr>
      <w:r w:rsidRPr="00FB5D9D">
        <w:rPr>
          <w:lang w:val="en-GB"/>
        </w:rPr>
        <w:t>The chemisorption of Co tetraphenyl porphyrin (CoTPP) on diverse metallic S including Ni [</w:t>
      </w:r>
      <w:r w:rsidRPr="00FB5D9D">
        <w:rPr>
          <w:lang w:val="en-GB"/>
        </w:rPr>
        <w:fldChar w:fldCharType="begin"/>
      </w:r>
      <w:r w:rsidRPr="00FB5D9D">
        <w:rPr>
          <w:lang w:val="en-GB"/>
        </w:rPr>
        <w:instrText>REF _Ref82088877 \r \h</w:instrText>
      </w:r>
      <w:r w:rsidRPr="00FB5D9D">
        <w:rPr>
          <w:lang w:val="en-GB"/>
        </w:rPr>
      </w:r>
      <w:r>
        <w:rPr>
          <w:lang w:val="en-GB"/>
        </w:rPr>
        <w:instrText xml:space="preserve"> \* MERGEFORMAT </w:instrText>
      </w:r>
      <w:r w:rsidRPr="00FB5D9D">
        <w:rPr>
          <w:lang w:val="en-GB"/>
        </w:rPr>
        <w:fldChar w:fldCharType="separate"/>
      </w:r>
      <w:r w:rsidRPr="00FB5D9D">
        <w:rPr>
          <w:lang w:val="en-GB"/>
        </w:rPr>
        <w:t>23</w:t>
      </w:r>
      <w:r w:rsidRPr="00FB5D9D">
        <w:rPr>
          <w:lang w:val="en-GB"/>
        </w:rPr>
        <w:fldChar w:fldCharType="end"/>
      </w:r>
      <w:r w:rsidRPr="00FB5D9D">
        <w:rPr>
          <w:lang w:val="en-GB"/>
        </w:rPr>
        <w:t>] and coinage metal surfaces (Cu [</w:t>
      </w:r>
      <w:r w:rsidRPr="00FB5D9D">
        <w:rPr>
          <w:lang w:val="en-GB"/>
        </w:rPr>
        <w:fldChar w:fldCharType="begin"/>
      </w:r>
      <w:r w:rsidRPr="00FB5D9D">
        <w:rPr>
          <w:lang w:val="en-GB"/>
        </w:rPr>
        <w:instrText>REF _Ref82089609 \r \h</w:instrText>
      </w:r>
      <w:r w:rsidRPr="00FB5D9D">
        <w:rPr>
          <w:lang w:val="en-GB"/>
        </w:rPr>
      </w:r>
      <w:r>
        <w:rPr>
          <w:lang w:val="en-GB"/>
        </w:rPr>
        <w:instrText xml:space="preserve"> \* MERGEFORMAT </w:instrText>
      </w:r>
      <w:r w:rsidRPr="00FB5D9D">
        <w:rPr>
          <w:lang w:val="en-GB"/>
        </w:rPr>
        <w:fldChar w:fldCharType="separate"/>
      </w:r>
      <w:r w:rsidRPr="00FB5D9D">
        <w:rPr>
          <w:lang w:val="en-GB"/>
        </w:rPr>
        <w:t>26</w:t>
      </w:r>
      <w:r w:rsidRPr="00FB5D9D">
        <w:rPr>
          <w:lang w:val="en-GB"/>
        </w:rPr>
        <w:fldChar w:fldCharType="end"/>
      </w:r>
      <w:r w:rsidRPr="00FB5D9D">
        <w:rPr>
          <w:lang w:val="en-GB"/>
        </w:rPr>
        <w:t>,</w:t>
      </w:r>
      <w:r w:rsidRPr="00FB5D9D">
        <w:rPr>
          <w:lang w:val="en-GB"/>
        </w:rPr>
        <w:fldChar w:fldCharType="begin"/>
      </w:r>
      <w:r w:rsidRPr="00FB5D9D">
        <w:rPr>
          <w:lang w:val="en-GB"/>
        </w:rPr>
        <w:instrText>REF _Ref82095211 \r \h</w:instrText>
      </w:r>
      <w:r w:rsidRPr="00FB5D9D">
        <w:rPr>
          <w:lang w:val="en-GB"/>
        </w:rPr>
      </w:r>
      <w:r>
        <w:rPr>
          <w:lang w:val="en-GB"/>
        </w:rPr>
        <w:instrText xml:space="preserve"> \* MERGEFORMAT </w:instrText>
      </w:r>
      <w:r w:rsidRPr="00FB5D9D">
        <w:rPr>
          <w:lang w:val="en-GB"/>
        </w:rPr>
        <w:fldChar w:fldCharType="separate"/>
      </w:r>
      <w:r w:rsidRPr="00FB5D9D">
        <w:rPr>
          <w:lang w:val="en-GB"/>
        </w:rPr>
        <w:t>28</w:t>
      </w:r>
      <w:r w:rsidRPr="00FB5D9D">
        <w:rPr>
          <w:lang w:val="en-GB"/>
        </w:rPr>
        <w:fldChar w:fldCharType="end"/>
      </w:r>
      <w:r w:rsidRPr="00FB5D9D">
        <w:rPr>
          <w:lang w:val="en-GB"/>
        </w:rPr>
        <w:t>-</w:t>
      </w:r>
      <w:r w:rsidRPr="00FB5D9D">
        <w:rPr>
          <w:lang w:val="en-GB"/>
        </w:rPr>
        <w:fldChar w:fldCharType="begin"/>
      </w:r>
      <w:r w:rsidRPr="00FB5D9D">
        <w:rPr>
          <w:lang w:val="en-GB"/>
        </w:rPr>
        <w:instrText>REF _Ref82095213 \r \h</w:instrText>
      </w:r>
      <w:r w:rsidRPr="00FB5D9D">
        <w:rPr>
          <w:lang w:val="en-GB"/>
        </w:rPr>
      </w:r>
      <w:r>
        <w:rPr>
          <w:lang w:val="en-GB"/>
        </w:rPr>
        <w:instrText xml:space="preserve"> \* MERGEFORMAT </w:instrText>
      </w:r>
      <w:r w:rsidRPr="00FB5D9D">
        <w:rPr>
          <w:lang w:val="en-GB"/>
        </w:rPr>
        <w:fldChar w:fldCharType="separate"/>
      </w:r>
      <w:r w:rsidRPr="00FB5D9D">
        <w:rPr>
          <w:lang w:val="en-GB"/>
        </w:rPr>
        <w:t>29</w:t>
      </w:r>
      <w:r w:rsidRPr="00FB5D9D">
        <w:rPr>
          <w:lang w:val="en-GB"/>
        </w:rPr>
        <w:fldChar w:fldCharType="end"/>
      </w:r>
      <w:r w:rsidRPr="00FB5D9D">
        <w:rPr>
          <w:lang w:val="en-GB"/>
        </w:rPr>
        <w:t>], Ag [</w:t>
      </w:r>
      <w:r w:rsidRPr="00FB5D9D">
        <w:rPr>
          <w:lang w:val="en-GB"/>
        </w:rPr>
        <w:fldChar w:fldCharType="begin"/>
      </w:r>
      <w:r w:rsidRPr="00FB5D9D">
        <w:rPr>
          <w:lang w:val="en-GB"/>
        </w:rPr>
        <w:instrText>REF _Ref82095282 \r \h</w:instrText>
      </w:r>
      <w:r w:rsidRPr="00FB5D9D">
        <w:rPr>
          <w:lang w:val="en-GB"/>
        </w:rPr>
      </w:r>
      <w:r>
        <w:rPr>
          <w:lang w:val="en-GB"/>
        </w:rPr>
        <w:instrText xml:space="preserve"> \* MERGEFORMAT </w:instrText>
      </w:r>
      <w:r w:rsidRPr="00FB5D9D">
        <w:rPr>
          <w:lang w:val="en-GB"/>
        </w:rPr>
        <w:fldChar w:fldCharType="separate"/>
      </w:r>
      <w:r w:rsidRPr="00FB5D9D">
        <w:rPr>
          <w:lang w:val="en-GB"/>
        </w:rPr>
        <w:t>20</w:t>
      </w:r>
      <w:r w:rsidRPr="00FB5D9D">
        <w:rPr>
          <w:lang w:val="en-GB"/>
        </w:rPr>
        <w:fldChar w:fldCharType="end"/>
      </w:r>
      <w:r w:rsidRPr="00FB5D9D">
        <w:rPr>
          <w:lang w:val="en-GB"/>
        </w:rPr>
        <w:t>,</w:t>
      </w:r>
      <w:r w:rsidRPr="00FB5D9D">
        <w:rPr>
          <w:lang w:val="en-GB"/>
        </w:rPr>
        <w:fldChar w:fldCharType="begin"/>
      </w:r>
      <w:r w:rsidRPr="00FB5D9D">
        <w:rPr>
          <w:lang w:val="en-GB"/>
        </w:rPr>
        <w:instrText>REF _Ref82089106 \r \h</w:instrText>
      </w:r>
      <w:r w:rsidRPr="00FB5D9D">
        <w:rPr>
          <w:lang w:val="en-GB"/>
        </w:rPr>
      </w:r>
      <w:r>
        <w:rPr>
          <w:lang w:val="en-GB"/>
        </w:rPr>
        <w:instrText xml:space="preserve"> \* MERGEFORMAT </w:instrText>
      </w:r>
      <w:r w:rsidRPr="00FB5D9D">
        <w:rPr>
          <w:lang w:val="en-GB"/>
        </w:rPr>
        <w:fldChar w:fldCharType="separate"/>
      </w:r>
      <w:r w:rsidRPr="00FB5D9D">
        <w:rPr>
          <w:lang w:val="en-GB"/>
        </w:rPr>
        <w:t>25</w:t>
      </w:r>
      <w:r w:rsidRPr="00FB5D9D">
        <w:rPr>
          <w:lang w:val="en-GB"/>
        </w:rPr>
        <w:fldChar w:fldCharType="end"/>
      </w:r>
      <w:r w:rsidRPr="00FB5D9D">
        <w:rPr>
          <w:lang w:val="en-GB"/>
        </w:rPr>
        <w:t>,</w:t>
      </w:r>
      <w:r w:rsidRPr="00FB5D9D">
        <w:fldChar w:fldCharType="begin"/>
      </w:r>
      <w:r w:rsidRPr="00FB5D9D">
        <w:rPr>
          <w:lang w:val="en-GB"/>
        </w:rPr>
        <w:instrText>ADDIN CSL_CITATION {"citationItems":[{"id":"ITEM-1","itemData":{"DOI":"10.1016/j.susc.2014.12.011","ISSN":"00396028","abstract":"The cobalt tetraphenyl porphyrin (CoTPP) molecule and its adsorption on clean Cu and Ag surfaces are comparatively analyzed within the Density Functional Theory (DFT) framework. Different sets of exchange-correlation functionals - the Local Density Approximation (LDA) and the Gradient Generalized Approximation (along with the PBE functional and the semi-empirical Grimme's corrections of dispersion) - are compared. Two prominent structural adsorption properties are disclosed in all sets of calculations: an asymmetric saddle deformation of CoTPP with an enhanced tilting of the upwards bent pyrroles and a single adsorption site where the Co center occupies a bridge position and one molecular axis (along the direction of the lowered pair of opposite pyrroles) is aligned with the dense-packed 〈11¯0〉 substrate direction. The similarities between Cu(111) and Ag(111) surfaces extend to the interfacial electronic structure with similar electronic redistribution and molecular charging. However subtle differences between the two substrates are revealed with bias-dependent STM simulations, especially in the low-bias imaging range. The STM calculations underline the difficulty for the commonly used GGA + D2 DFT framework to quantitatively predict the energy positions of the frontier molecular orbitals (MOs).","author":[{"dropping-particle":"","family":"Houwaart","given":"Torsten","non-dropping-particle":"","parse-names":false,"suffix":""},{"dropping-particle":"","family":"Bahers","given":"Tangui","non-dropping-particle":"Le","parse-names":false,"suffix":""},{"dropping-particle":"","family":"Sautet","given":"Philippe","non-dropping-particle":"","parse-names":false,"suffix":""},{"dropping-particle":"","family":"Auwärter","given":"Willi","non-dropping-particle":"","parse-names":false,"suffix":""},{"dropping-particle":"","family":"Seufert","given":"Knud","non-dropping-particle":"","parse-names":false,"suffix":""},{"dropping-particle":"V.","family":"Barth","given":"Johannes","non-dropping-particle":"","parse-names":false,"suffix":""},{"dropping-particle":"","family":"Bocquet","given":"Marie Laure","non-dropping-particle":"","parse-names":false,"suffix":""}],"container-title":"Surface Science","id":"ITEM-1","issued":{"date-parts":[["2015","5","1"]]},"page":"108-114","publisher":"Elsevier","title":"Scrutinizing individual CoTPP molecule adsorbed on coinage metal surfaces from the interplay of STM experiment and theory","type":"article-journal","volume":"635"},"uris":["http://www.mendeley.com/documents/?uuid=535b4c39-9d0f-3ca0-8dc2-e315c7f81b31"]},{"id":"ITEM-2","itemData":{"DOI":"10.1021/jp0652345","ISSN":"19327447","abstract":"The interaction of cobalt(II) tetraphenylporphyrin (CoTPP) and cobalt(II) tetrakis-(3,5-di-tert-butylphenyl)-porphyrin (CoTTBPP) with a Ag(111) surface has been investigated with photoelectron spectroscopy (XPS/ UPS). It is demonstrated that these adsorbed metal complexes are excellent model systems for studying the electronic interaction between a coordinated metal ion and a metal surface. The photoelectron spectra and work function data provide evidence that the electronic interaction between the cobalt ion and the silver surface results in a transfer of electron density from the surface to the ion. The presence of an additional electronic state located ∼1 eV above the singly occupied molecular orbital (SOMO) of the metalloporphyrins is consistent with a molecular orbital (MO) model of the Co-Ag interaction as is the fact that the energetic position of this state depends on the distance between the Co ion and the Ag surface. The adsorbate-induced work function changes for the saturated monolayers amount to -0.72 eV for CoTPP and -0.91 eV for CoTTBPP. For comparison, we also present data of monolayer films of tetraphenylporphyrin and zinc(II) tetraphenylporphyrin. © 2007 American Chemical Society.","author":[{"dropping-particle":"","family":"Lukasczyk","given":"Thomas","non-dropping-particle":"","parse-names":false,"suffix":""},{"dropping-particle":"","family":"Flechtner","given":"Ken","non-dropping-particle":"","parse-names":false,"suffix":""},{"dropping-particle":"","family":"Merte","given":"Lindsay R.","non-dropping-particle":"","parse-names":false,"suffix":""},{"dropping-particle":"","family":"Jux","given":"Norbert","non-dropping-particle":"","parse-names":false,"suffix":""},{"dropping-particle":"","family":"Maier","given":"Florian","non-dropping-particle":"","parse-names":false,"suffix":""},{"dropping-particle":"","family":"Gottfried","given":"J. Michael","non-dropping-particle":"","parse-names":false,"suffix":""},{"dropping-particle":"","family":"Steinrück","given":"Hans Peter","non-dropping-particle":"","parse-names":false,"suffix":""}],"container-title":"Journal of Physical Chemistry C","id":"ITEM-2","issue":"7","issued":{"date-parts":[["2007","2","22"]]},"page":"3090-3098","publisher":" American Chemical Society ","title":"Interaction of cobalt(II) tetraarylporphyrins with a Ag(111) surface studied with photoelectron spectroscopy","type":"article-journal","volume":"111"},"uris":["http://www.mendeley.com/documents/?uuid=09884cd7-b692-3212-b39e-0b5002b2a368"]},{"id":"ITEM-3","itemData":{"DOI":"10.1524/zpch.2009.6024","ISSN":"09429352","abstract":"Recent years have seen rapid progress in the field of surface-confined coordination chemistry. Adsorbed metal complexes of tetrapyrroles (porphyrins, phthalocyanines, corroles) are especially interesting in this context, since they combine a planar structure-determining element with an active site. While earlier studies of adsorbed metallo-tetrapyrroles mainly addressed aspects of molecular self-assembly, the focus of interest has shifted gradually to electronic structure and chemical reactivity. This article gives an overview of recent advances in the field of surface chemistry with tetrapyrroles. In particular, the following aspects will be discussed: intramolecular conformation and supramolecular ordering, electronic interaction with the substrate, surface-confined synthesis, and ligand-related effects such as the surface trans effect. © by Oldenbourg Wissenschaftsverlag.","author":[{"dropping-particle":"","family":"Gottfried","given":"J. Michael","non-dropping-particle":"","parse-names":false,"suffix":""},{"dropping-particle":"","family":"Marbach","given":"Hubertus","non-dropping-particle":"","parse-names":false,"suffix":""}],"container-title":"Zeitschrift fur Physikalische Chemie","id":"ITEM-3","issue":"1-2","issued":{"date-parts":[["2009","1","1"]]},"page":"53-74","publisher":"Oldenbourg Wissenschaftsverlag GmbH","title":"Surface-confined coordination chemistry with porphyrins and phthalocyanines: Aspects of formation, electronic structure, and reactivity","type":"article-journal","volume":"223"},"uris":["http://www.mendeley.com/documents/?uuid=1c2eeced-97eb-3d4a-b493-0f86ffc977db"]},{"id":"ITEM-4","itemData":{"DOI":"10.1021/acs.jpcc.7b00518","ISSN":"19327455","abstract":"Using a combination of LEED, high-resolution XPS, XSW, and NEXAFS, we have studied the adsorption of cobalt(II) 5,10,15,20-tetraphenylporphyrin (CoTPP) on Ag(100) at 300 K. In agreement with previous studies on Ag(111), we find a charge transfer from the silver surface to the porphyrin molecule, reducing the metal center. At high coverages we observe a square-shaped 1.41 x 1.41 nm2 adsorption structure, which becomes more open at lower coverages. Because of the superior energy resolution of the Diamond i09 beamline, we are able to resolve a low-binding-energy shoulder in the C 1s spectrum, originating from the lower carbon atoms in the rotated phenyl rings. This is confirmed by XSW measurements, which also gives the adsorption heights of the other atoms in the molecule. In addition, the XSW and complementary NEXAFS measurements yield information about the rotation of the phenyl rings and the deformation of the macrocycle. (Figure Presented).","author":[{"dropping-particle":"","family":"Wechsler","given":"Daniel","non-dropping-particle":"","parse-names":false,"suffix":""},{"dropping-particle":"","family":"Franke","given":"Matthias","non-dropping-particle":"","parse-names":false,"suffix":""},{"dropping-particle":"","family":"Tariq","given":"Quratulain","non-dropping-particle":"","parse-names":false,"suffix":""},{"dropping-particle":"","family":"Zhang","given":"Liang","non-dropping-particle":"","parse-names":false,"suffix":""},{"dropping-particle":"","family":"Lee","given":"Tien Lin","non-dropping-particle":"","parse-names":false,"suffix":""},{"dropping-particle":"","family":"Thakur","given":"Pardeep Kumar","non-dropping-particle":"","parse-names":false,"suffix":""},{"dropping-particle":"","family":"Tsud","given":"Nataliya","non-dropping-particle":"","parse-names":false,"suffix":""},{"dropping-particle":"","family":"Bercha","given":"Sofiia","non-dropping-particle":"","parse-names":false,"suffix":""},{"dropping-particle":"","family":"Prince","given":"Kevin Charles","non-dropping-particle":"","parse-names":false,"suffix":""},{"dropping-particle":"","family":"Steinrück","given":"Hans Peter","non-dropping-particle":"","parse-names":false,"suffix":""},{"dropping-particle":"","family":"Lytken","given":"Ole","non-dropping-particle":"","parse-names":false,"suffix":""}],"container-title":"Journal of Physical Chemistry C","id":"ITEM-4","issue":"10","issued":{"date-parts":[["2017","3","16"]]},"page":"5667-5674","publisher":"American Chemical Society","title":"Adsorption Structure of Cobalt Tetraphenylporphyrin on Ag(100)","type":"article-journal","volume":"121"},"uris":["http://www.mendeley.com/documents/?uuid=1355d7a7-e706-3c77-8d9e-eec5be6f29e8"]},{"id":"ITEM-5","itemData":{"DOI":"10.1021/ja1093502","ISSN":"00027863","abstract":"The chemical bond between an adsorbed, laterally coordinated metal ion and a metal surface is affected by an additional axial ligand on the metal ion. This surface analogon of the trans effect was studied in detail using monolayers of various M(II)-tetraphenylporphyrins (MTTPs, M = Fe, Co, Zn) and their nitrosyl complexes on a Ag(111) surface. X-ray photoelectron spectroscopy (XPS) shows that the oxidation state of the Fe and Co (but not Zn) ions in the MTPP monolayers is reduced because of the interaction with the substrate. This partial reduction is accompanied by the appearance of new valence states in the UV photoelectron and scanning tunneling spectra (UPS and STS), revealing the covalent character of the ion-substrate bond. Subsequent coordination of nitric oxide (NO) to the metal ions (Fe, Co) reverses these surface-induced effects, resulting in an increase of the oxidation states and the disappearance of the new valence states. Removal of the NO ligands by thermal desorption restores the original spectroscopic features, indicating that the described processes are fully reversible. The NO coordination also changes the spin state and thus the magnetic properties of the metal ions. Density-functional theory (DFT) calculations on model systems provide structural and energetic data on the adsorbed molecules and the surface chemical bond. The calculations reveal that competition effects, similar to the trans effect, play a central role and lead to a mutual interference of the two axial ligands, NO and Ag, and their bonds to the metal center. These findings have important implications for sensor technology and catalysis using supported planar metal complexes, in which the activity of the metal center is sensitively influenced by the substrate. © 2011 American Chemical Society.","author":[{"dropping-particle":"","family":"Hieringer","given":"Wolfgang","non-dropping-particle":"","parse-names":false,"suffix":""},{"dropping-particle":"","family":"Flechtner","given":"Ken","non-dropping-particle":"","parse-names":false,"suffix":""},{"dropping-particle":"","family":"Kretschmann","given":"Andreas","non-dropping-particle":"","parse-names":false,"suffix":""},{"dropping-particle":"","family":"Seufert","given":"Knud","non-dropping-particle":"","parse-names":false,"suffix":""},{"dropping-particle":"","family":"Auwärter","given":"Willi","non-dropping-particle":"","parse-names":false,"suffix":""},{"dropping-particle":"V.","family":"Barth","given":"Johannes","non-dropping-particle":"","parse-names":false,"suffix":""},{"dropping-particle":"","family":"Görling","given":"Andreas","non-dropping-particle":"","parse-names":false,"suffix":""},{"dropping-particle":"","family":"Steinrück","given":"Hans Peter","non-dropping-particle":"","parse-names":false,"suffix":""},{"dropping-particle":"","family":"Gottfried","given":"J. Michael","non-dropping-particle":"","parse-names":false,"suffix":""}],"container-title":"Journal of the American Chemical Society","id":"ITEM-5","issue":"16","issued":{"date-parts":[["2011","4","27"]]},"page":"6206-6222","publisher":"American Chemical Society","title":"The surface trans effect: Influence of axial ligands on the surface chemical bonds of adsorbed metalloporphyrins","type":"article-journal","volume":"133"},"uris":["http://www.mendeley.com/documents/?uuid=9788bf72-6b56-3044-b22f-ab886510733c"]}],"mendeley":{"formattedCitation":"&lt;sup&gt;9,13,16–18&lt;/sup&gt;","plainTextFormattedCitation":"9,13,16–18","previouslyFormattedCitation":"&lt;sup&gt;9,13,16–18&lt;/sup&gt;"},"properties":{"noteIndex":0},"schema":"https://github.com/citation-style-language/schema/raw/master/csl-citation.json"}</w:instrText>
      </w:r>
      <w:r w:rsidRPr="00FB5D9D">
        <w:rPr>
          <w:lang w:val="en-GB"/>
        </w:rPr>
        <w:fldChar w:fldCharType="separate"/>
      </w:r>
      <w:r w:rsidRPr="00FB5D9D">
        <w:rPr>
          <w:lang w:val="en-GB"/>
        </w:rPr>
        <w:fldChar w:fldCharType="begin"/>
      </w:r>
      <w:r w:rsidRPr="00FB5D9D">
        <w:rPr>
          <w:lang w:val="en-GB"/>
        </w:rPr>
        <w:instrText>REF _Ref82089609 \r \h</w:instrText>
      </w:r>
      <w:r w:rsidRPr="00FB5D9D">
        <w:rPr>
          <w:lang w:val="en-GB"/>
        </w:rPr>
      </w:r>
      <w:r>
        <w:rPr>
          <w:lang w:val="en-GB"/>
        </w:rPr>
        <w:instrText xml:space="preserve"> \* MERGEFORMAT </w:instrText>
      </w:r>
      <w:r w:rsidRPr="00FB5D9D">
        <w:rPr>
          <w:lang w:val="en-GB"/>
        </w:rPr>
        <w:fldChar w:fldCharType="separate"/>
      </w:r>
      <w:r w:rsidRPr="00FB5D9D">
        <w:rPr>
          <w:lang w:val="en-GB"/>
        </w:rPr>
        <w:t>26</w:t>
      </w:r>
      <w:r w:rsidRPr="00FB5D9D">
        <w:rPr>
          <w:lang w:val="en-GB"/>
        </w:rPr>
        <w:fldChar w:fldCharType="end"/>
      </w:r>
      <w:r w:rsidRPr="00FB5D9D">
        <w:rPr>
          <w:lang w:val="en-GB"/>
        </w:rPr>
        <w:t>,</w:t>
      </w:r>
      <w:r w:rsidRPr="00FB5D9D">
        <w:rPr>
          <w:lang w:val="en-GB"/>
        </w:rPr>
        <w:fldChar w:fldCharType="end"/>
      </w:r>
      <w:r w:rsidRPr="00FB5D9D">
        <w:rPr>
          <w:lang w:val="en-GB"/>
        </w:rPr>
        <w:fldChar w:fldCharType="begin"/>
      </w:r>
      <w:r w:rsidRPr="00FB5D9D">
        <w:rPr>
          <w:lang w:val="en-GB"/>
        </w:rPr>
        <w:instrText>REF _Ref82095884 \r \h</w:instrText>
      </w:r>
      <w:r w:rsidRPr="00FB5D9D">
        <w:rPr>
          <w:lang w:val="en-GB"/>
        </w:rPr>
      </w:r>
      <w:r>
        <w:rPr>
          <w:lang w:val="en-GB"/>
        </w:rPr>
        <w:instrText xml:space="preserve"> \* MERGEFORMAT </w:instrText>
      </w:r>
      <w:r w:rsidRPr="00FB5D9D">
        <w:rPr>
          <w:lang w:val="en-GB"/>
        </w:rPr>
        <w:fldChar w:fldCharType="separate"/>
      </w:r>
      <w:r w:rsidRPr="00FB5D9D">
        <w:rPr>
          <w:lang w:val="en-GB"/>
        </w:rPr>
        <w:t>30</w:t>
      </w:r>
      <w:r w:rsidRPr="00FB5D9D">
        <w:rPr>
          <w:lang w:val="en-GB"/>
        </w:rPr>
        <w:fldChar w:fldCharType="end"/>
      </w:r>
      <w:r w:rsidRPr="00FB5D9D">
        <w:rPr>
          <w:lang w:val="en-GB"/>
        </w:rPr>
        <w:t>-</w:t>
      </w:r>
      <w:r w:rsidRPr="00FB5D9D">
        <w:rPr>
          <w:lang w:val="en-GB"/>
        </w:rPr>
        <w:fldChar w:fldCharType="begin"/>
      </w:r>
      <w:r w:rsidRPr="00FB5D9D">
        <w:rPr>
          <w:lang w:val="en-GB"/>
        </w:rPr>
        <w:instrText>REF _Ref82095908 \r \h</w:instrText>
      </w:r>
      <w:r w:rsidRPr="00FB5D9D">
        <w:rPr>
          <w:lang w:val="en-GB"/>
        </w:rPr>
      </w:r>
      <w:r>
        <w:rPr>
          <w:lang w:val="en-GB"/>
        </w:rPr>
        <w:instrText xml:space="preserve"> \* MERGEFORMAT </w:instrText>
      </w:r>
      <w:r w:rsidRPr="00FB5D9D">
        <w:rPr>
          <w:lang w:val="en-GB"/>
        </w:rPr>
        <w:fldChar w:fldCharType="separate"/>
      </w:r>
      <w:r w:rsidRPr="00FB5D9D">
        <w:rPr>
          <w:lang w:val="en-GB"/>
        </w:rPr>
        <w:t>31</w:t>
      </w:r>
      <w:r w:rsidRPr="00FB5D9D">
        <w:rPr>
          <w:lang w:val="en-GB"/>
        </w:rPr>
        <w:fldChar w:fldCharType="end"/>
      </w:r>
      <w:r w:rsidRPr="00FB5D9D">
        <w:rPr>
          <w:lang w:val="en-GB"/>
        </w:rPr>
        <w:t>], Au [</w:t>
      </w:r>
      <w:r w:rsidRPr="00FB5D9D">
        <w:rPr>
          <w:lang w:val="en-GB"/>
        </w:rPr>
        <w:fldChar w:fldCharType="begin"/>
      </w:r>
      <w:r w:rsidRPr="00FB5D9D">
        <w:rPr>
          <w:lang w:val="en-GB"/>
        </w:rPr>
        <w:instrText>REF _Ref82088372 \r \h</w:instrText>
      </w:r>
      <w:r w:rsidRPr="00FB5D9D">
        <w:rPr>
          <w:lang w:val="en-GB"/>
        </w:rPr>
      </w:r>
      <w:r>
        <w:rPr>
          <w:lang w:val="en-GB"/>
        </w:rPr>
        <w:instrText xml:space="preserve"> \* MERGEFORMAT </w:instrText>
      </w:r>
      <w:r w:rsidRPr="00FB5D9D">
        <w:rPr>
          <w:lang w:val="en-GB"/>
        </w:rPr>
        <w:fldChar w:fldCharType="separate"/>
      </w:r>
      <w:r w:rsidRPr="00FB5D9D">
        <w:rPr>
          <w:lang w:val="en-GB"/>
        </w:rPr>
        <w:t>18</w:t>
      </w:r>
      <w:r w:rsidRPr="00FB5D9D">
        <w:rPr>
          <w:lang w:val="en-GB"/>
        </w:rPr>
        <w:fldChar w:fldCharType="end"/>
      </w:r>
      <w:r w:rsidRPr="00FB5D9D">
        <w:rPr>
          <w:lang w:val="en-GB"/>
        </w:rPr>
        <w:t>,</w:t>
      </w:r>
      <w:r w:rsidRPr="00FB5D9D">
        <w:rPr>
          <w:lang w:val="en-GB"/>
        </w:rPr>
        <w:fldChar w:fldCharType="begin"/>
      </w:r>
      <w:r w:rsidRPr="00FB5D9D">
        <w:rPr>
          <w:lang w:val="en-GB"/>
        </w:rPr>
        <w:instrText>REF _Ref82095282 \r \h</w:instrText>
      </w:r>
      <w:r w:rsidRPr="00FB5D9D">
        <w:rPr>
          <w:lang w:val="en-GB"/>
        </w:rPr>
      </w:r>
      <w:r>
        <w:rPr>
          <w:lang w:val="en-GB"/>
        </w:rPr>
        <w:instrText xml:space="preserve"> \* MERGEFORMAT </w:instrText>
      </w:r>
      <w:r w:rsidRPr="00FB5D9D">
        <w:rPr>
          <w:lang w:val="en-GB"/>
        </w:rPr>
        <w:fldChar w:fldCharType="separate"/>
      </w:r>
      <w:r w:rsidRPr="00FB5D9D">
        <w:rPr>
          <w:lang w:val="en-GB"/>
        </w:rPr>
        <w:t>20</w:t>
      </w:r>
      <w:r w:rsidRPr="00FB5D9D">
        <w:rPr>
          <w:lang w:val="en-GB"/>
        </w:rPr>
        <w:fldChar w:fldCharType="end"/>
      </w:r>
      <w:r w:rsidRPr="00FB5D9D">
        <w:rPr>
          <w:lang w:val="en-GB"/>
        </w:rPr>
        <w:t>-</w:t>
      </w:r>
      <w:r w:rsidRPr="00FB5D9D">
        <w:rPr>
          <w:lang w:val="en-GB"/>
        </w:rPr>
        <w:fldChar w:fldCharType="begin"/>
      </w:r>
      <w:r w:rsidRPr="00FB5D9D">
        <w:rPr>
          <w:lang w:val="en-GB"/>
        </w:rPr>
        <w:instrText>REF _Ref82088965 \r \h</w:instrText>
      </w:r>
      <w:r w:rsidRPr="00FB5D9D">
        <w:rPr>
          <w:lang w:val="en-GB"/>
        </w:rPr>
      </w:r>
      <w:r>
        <w:rPr>
          <w:lang w:val="en-GB"/>
        </w:rPr>
        <w:instrText xml:space="preserve"> \* MERGEFORMAT </w:instrText>
      </w:r>
      <w:r w:rsidRPr="00FB5D9D">
        <w:rPr>
          <w:lang w:val="en-GB"/>
        </w:rPr>
        <w:fldChar w:fldCharType="separate"/>
      </w:r>
      <w:r w:rsidRPr="00FB5D9D">
        <w:rPr>
          <w:lang w:val="en-GB"/>
        </w:rPr>
        <w:t>21</w:t>
      </w:r>
      <w:r w:rsidRPr="00FB5D9D">
        <w:rPr>
          <w:lang w:val="en-GB"/>
        </w:rPr>
        <w:fldChar w:fldCharType="end"/>
      </w:r>
      <w:r w:rsidRPr="00FB5D9D">
        <w:rPr>
          <w:lang w:val="en-GB"/>
        </w:rPr>
        <w:t>,</w:t>
      </w:r>
      <w:r w:rsidRPr="00FB5D9D">
        <w:rPr>
          <w:lang w:val="en-GB"/>
        </w:rPr>
        <w:fldChar w:fldCharType="begin"/>
      </w:r>
      <w:r w:rsidRPr="00FB5D9D">
        <w:rPr>
          <w:lang w:val="en-GB"/>
        </w:rPr>
        <w:instrText>REF _Ref82095211 \r \h</w:instrText>
      </w:r>
      <w:r w:rsidRPr="00FB5D9D">
        <w:rPr>
          <w:lang w:val="en-GB"/>
        </w:rPr>
      </w:r>
      <w:r>
        <w:rPr>
          <w:lang w:val="en-GB"/>
        </w:rPr>
        <w:instrText xml:space="preserve"> \* MERGEFORMAT </w:instrText>
      </w:r>
      <w:r w:rsidRPr="00FB5D9D">
        <w:rPr>
          <w:lang w:val="en-GB"/>
        </w:rPr>
        <w:fldChar w:fldCharType="separate"/>
      </w:r>
      <w:r w:rsidRPr="00FB5D9D">
        <w:rPr>
          <w:lang w:val="en-GB"/>
        </w:rPr>
        <w:t>28</w:t>
      </w:r>
      <w:r w:rsidRPr="00FB5D9D">
        <w:rPr>
          <w:lang w:val="en-GB"/>
        </w:rPr>
        <w:fldChar w:fldCharType="end"/>
      </w:r>
      <w:r w:rsidRPr="00FB5D9D">
        <w:rPr>
          <w:lang w:val="en-GB"/>
        </w:rPr>
        <w:t>,</w:t>
      </w:r>
      <w:r w:rsidRPr="00FB5D9D">
        <w:rPr>
          <w:lang w:val="en-GB"/>
        </w:rPr>
        <w:fldChar w:fldCharType="begin"/>
      </w:r>
      <w:r w:rsidRPr="00FB5D9D">
        <w:rPr>
          <w:lang w:val="en-GB"/>
        </w:rPr>
        <w:instrText>REF _Ref82095884 \r \h</w:instrText>
      </w:r>
      <w:r w:rsidRPr="00FB5D9D">
        <w:rPr>
          <w:lang w:val="en-GB"/>
        </w:rPr>
      </w:r>
      <w:r>
        <w:rPr>
          <w:lang w:val="en-GB"/>
        </w:rPr>
        <w:instrText xml:space="preserve"> \* MERGEFORMAT </w:instrText>
      </w:r>
      <w:r w:rsidRPr="00FB5D9D">
        <w:rPr>
          <w:lang w:val="en-GB"/>
        </w:rPr>
        <w:fldChar w:fldCharType="separate"/>
      </w:r>
      <w:r w:rsidRPr="00FB5D9D">
        <w:rPr>
          <w:lang w:val="en-GB"/>
        </w:rPr>
        <w:t>30</w:t>
      </w:r>
      <w:r w:rsidRPr="00FB5D9D">
        <w:rPr>
          <w:lang w:val="en-GB"/>
        </w:rPr>
        <w:fldChar w:fldCharType="end"/>
      </w:r>
      <w:r w:rsidRPr="00FB5D9D">
        <w:rPr>
          <w:lang w:val="en-GB"/>
        </w:rPr>
        <w:t>]) has been investigated in detail in the past. In this regard, it has been shown that both Cu and Ag surfaces act as electron donors, thus inducing a Co</w:t>
      </w:r>
      <w:r w:rsidRPr="00FB5D9D">
        <w:rPr>
          <w:vertAlign w:val="superscript"/>
          <w:lang w:val="en-GB"/>
        </w:rPr>
        <w:t>II</w:t>
      </w:r>
      <w:r w:rsidRPr="00FB5D9D">
        <w:rPr>
          <w:lang w:val="en-GB"/>
        </w:rPr>
        <w:t xml:space="preserve"> </w:t>
      </w:r>
      <w:r w:rsidRPr="00FB5D9D">
        <w:rPr>
          <w:rFonts w:ascii="Symbol" w:eastAsia="Symbol" w:hAnsi="Symbol" w:cs="Symbol"/>
          <w:lang w:val="en-GB"/>
        </w:rPr>
        <w:t></w:t>
      </w:r>
      <w:r w:rsidRPr="00FB5D9D">
        <w:rPr>
          <w:lang w:val="en-GB"/>
        </w:rPr>
        <w:t xml:space="preserve"> Co</w:t>
      </w:r>
      <w:r w:rsidRPr="00FB5D9D">
        <w:rPr>
          <w:vertAlign w:val="superscript"/>
          <w:lang w:val="en-GB"/>
        </w:rPr>
        <w:t>I</w:t>
      </w:r>
      <w:r w:rsidRPr="00FB5D9D">
        <w:rPr>
          <w:lang w:val="en-GB"/>
        </w:rPr>
        <w:t xml:space="preserve"> pseudo reduction [</w:t>
      </w:r>
      <w:r w:rsidRPr="00FB5D9D">
        <w:rPr>
          <w:lang w:val="en-GB"/>
        </w:rPr>
        <w:fldChar w:fldCharType="begin"/>
      </w:r>
      <w:r w:rsidRPr="00FB5D9D">
        <w:rPr>
          <w:lang w:val="en-GB"/>
        </w:rPr>
        <w:instrText>REF _Ref82095282 \r \h</w:instrText>
      </w:r>
      <w:r w:rsidRPr="00FB5D9D">
        <w:rPr>
          <w:lang w:val="en-GB"/>
        </w:rPr>
      </w:r>
      <w:r>
        <w:rPr>
          <w:lang w:val="en-GB"/>
        </w:rPr>
        <w:instrText xml:space="preserve"> \* MERGEFORMAT </w:instrText>
      </w:r>
      <w:r w:rsidRPr="00FB5D9D">
        <w:rPr>
          <w:lang w:val="en-GB"/>
        </w:rPr>
        <w:fldChar w:fldCharType="separate"/>
      </w:r>
      <w:r w:rsidRPr="00FB5D9D">
        <w:rPr>
          <w:lang w:val="en-GB"/>
        </w:rPr>
        <w:t>20</w:t>
      </w:r>
      <w:r w:rsidRPr="00FB5D9D">
        <w:rPr>
          <w:lang w:val="en-GB"/>
        </w:rPr>
        <w:fldChar w:fldCharType="end"/>
      </w:r>
      <w:r w:rsidRPr="00FB5D9D">
        <w:rPr>
          <w:lang w:val="en-GB"/>
        </w:rPr>
        <w:t>,</w:t>
      </w:r>
      <w:r w:rsidRPr="00FB5D9D">
        <w:rPr>
          <w:lang w:val="en-GB"/>
        </w:rPr>
        <w:fldChar w:fldCharType="begin"/>
      </w:r>
      <w:r w:rsidRPr="00FB5D9D">
        <w:rPr>
          <w:lang w:val="en-GB"/>
        </w:rPr>
        <w:instrText>REF _Ref82089106 \r \h</w:instrText>
      </w:r>
      <w:r w:rsidRPr="00FB5D9D">
        <w:rPr>
          <w:lang w:val="en-GB"/>
        </w:rPr>
      </w:r>
      <w:r>
        <w:rPr>
          <w:lang w:val="en-GB"/>
        </w:rPr>
        <w:instrText xml:space="preserve"> \* MERGEFORMAT </w:instrText>
      </w:r>
      <w:r w:rsidRPr="00FB5D9D">
        <w:rPr>
          <w:lang w:val="en-GB"/>
        </w:rPr>
        <w:fldChar w:fldCharType="separate"/>
      </w:r>
      <w:r w:rsidRPr="00FB5D9D">
        <w:rPr>
          <w:lang w:val="en-GB"/>
        </w:rPr>
        <w:t>25</w:t>
      </w:r>
      <w:r w:rsidRPr="00FB5D9D">
        <w:rPr>
          <w:lang w:val="en-GB"/>
        </w:rPr>
        <w:fldChar w:fldCharType="end"/>
      </w:r>
      <w:r w:rsidRPr="00FB5D9D">
        <w:rPr>
          <w:lang w:val="en-GB"/>
        </w:rPr>
        <w:t>,</w:t>
      </w:r>
      <w:r w:rsidRPr="00FB5D9D">
        <w:fldChar w:fldCharType="begin"/>
      </w:r>
      <w:r w:rsidRPr="00FB5D9D">
        <w:rPr>
          <w:lang w:val="en-GB"/>
        </w:rPr>
        <w:instrText>ADDIN CSL_CITATION {"citationItems":[{"id":"ITEM-1","itemData":{"DOI":"10.1016/j.susc.2014.12.011","ISSN":"00396028","abstract":"The cobalt tetraphenyl porphyrin (CoTPP) molecule and its adsorption on clean Cu and Ag surfaces are comparatively analyzed within the Density Functional Theory (DFT) framework. Different sets of exchange-correlation functionals - the Local Density Approximation (LDA) and the Gradient Generalized Approximation (along with the PBE functional and the semi-empirical Grimme's corrections of dispersion) - are compared. Two prominent structural adsorption properties are disclosed in all sets of calculations: an asymmetric saddle deformation of CoTPP with an enhanced tilting of the upwards bent pyrroles and a single adsorption site where the Co center occupies a bridge position and one molecular axis (along the direction of the lowered pair of opposite pyrroles) is aligned with the dense-packed 〈11¯0〉 substrate direction. The similarities between Cu(111) and Ag(111) surfaces extend to the interfacial electronic structure with similar electronic redistribution and molecular charging. However subtle differences between the two substrates are revealed with bias-dependent STM simulations, especially in the low-bias imaging range. The STM calculations underline the difficulty for the commonly used GGA + D2 DFT framework to quantitatively predict the energy positions of the frontier molecular orbitals (MOs).","author":[{"dropping-particle":"","family":"Houwaart","given":"Torsten","non-dropping-particle":"","parse-names":false,"suffix":""},{"dropping-particle":"","family":"Bahers","given":"Tangui","non-dropping-particle":"Le","parse-names":false,"suffix":""},{"dropping-particle":"","family":"Sautet","given":"Philippe","non-dropping-particle":"","parse-names":false,"suffix":""},{"dropping-particle":"","family":"Auwärter","given":"Willi","non-dropping-particle":"","parse-names":false,"suffix":""},{"dropping-particle":"","family":"Seufert","given":"Knud","non-dropping-particle":"","parse-names":false,"suffix":""},{"dropping-particle":"V.","family":"Barth","given":"Johannes","non-dropping-particle":"","parse-names":false,"suffix":""},{"dropping-particle":"","family":"Bocquet","given":"Marie Laure","non-dropping-particle":"","parse-names":false,"suffix":""}],"container-title":"Surface Science","id":"ITEM-1","issued":{"date-parts":[["2015","5","1"]]},"page":"108-114","publisher":"Elsevier","title":"Scrutinizing individual CoTPP molecule adsorbed on coinage metal surfaces from the interplay of STM experiment and theory","type":"article-journal","volume":"635"},"uris":["http://www.mendeley.com/documents/?uuid=535b4c39-9d0f-3ca0-8dc2-e315c7f81b31"]},{"id":"ITEM-2","itemData":{"DOI":"10.1021/jp0652345","ISSN":"19327447","abstract":"The interaction of cobalt(II) tetraphenylporphyrin (CoTPP) and cobalt(II) tetrakis-(3,5-di-tert-butylphenyl)-porphyrin (CoTTBPP) with a Ag(111) surface has been investigated with photoelectron spectroscopy (XPS/ UPS). It is demonstrated that these adsorbed metal complexes are excellent model systems for studying the electronic interaction between a coordinated metal ion and a metal surface. The photoelectron spectra and work function data provide evidence that the electronic interaction between the cobalt ion and the silver surface results in a transfer of electron density from the surface to the ion. The presence of an additional electronic state located ∼1 eV above the singly occupied molecular orbital (SOMO) of the metalloporphyrins is consistent with a molecular orbital (MO) model of the Co-Ag interaction as is the fact that the energetic position of this state depends on the distance between the Co ion and the Ag surface. The adsorbate-induced work function changes for the saturated monolayers amount to -0.72 eV for CoTPP and -0.91 eV for CoTTBPP. For comparison, we also present data of monolayer films of tetraphenylporphyrin and zinc(II) tetraphenylporphyrin. © 2007 American Chemical Society.","author":[{"dropping-particle":"","family":"Lukasczyk","given":"Thomas","non-dropping-particle":"","parse-names":false,"suffix":""},{"dropping-particle":"","family":"Flechtner","given":"Ken","non-dropping-particle":"","parse-names":false,"suffix":""},{"dropping-particle":"","family":"Merte","given":"Lindsay R.","non-dropping-particle":"","parse-names":false,"suffix":""},{"dropping-particle":"","family":"Jux","given":"Norbert","non-dropping-particle":"","parse-names":false,"suffix":""},{"dropping-particle":"","family":"Maier","given":"Florian","non-dropping-particle":"","parse-names":false,"suffix":""},{"dropping-particle":"","family":"Gottfried","given":"J. Michael","non-dropping-particle":"","parse-names":false,"suffix":""},{"dropping-particle":"","family":"Steinrück","given":"Hans Peter","non-dropping-particle":"","parse-names":false,"suffix":""}],"container-title":"Journal of Physical Chemistry C","id":"ITEM-2","issue":"7","issued":{"date-parts":[["2007","2","22"]]},"page":"3090-3098","publisher":" American Chemical Society ","title":"Interaction of cobalt(II) tetraarylporphyrins with a Ag(111) surface studied with photoelectron spectroscopy","type":"article-journal","volume":"111"},"uris":["http://www.mendeley.com/documents/?uuid=09884cd7-b692-3212-b39e-0b5002b2a368"]},{"id":"ITEM-3","itemData":{"DOI":"10.1524/zpch.2009.6024","ISSN":"09429352","abstract":"Recent years have seen rapid progress in the field of surface-confined coordination chemistry. Adsorbed metal complexes of tetrapyrroles (porphyrins, phthalocyanines, corroles) are especially interesting in this context, since they combine a planar structure-determining element with an active site. While earlier studies of adsorbed metallo-tetrapyrroles mainly addressed aspects of molecular self-assembly, the focus of interest has shifted gradually to electronic structure and chemical reactivity. This article gives an overview of recent advances in the field of surface chemistry with tetrapyrroles. In particular, the following aspects will be discussed: intramolecular conformation and supramolecular ordering, electronic interaction with the substrate, surface-confined synthesis, and ligand-related effects such as the surface trans effect. © by Oldenbourg Wissenschaftsverlag.","author":[{"dropping-particle":"","family":"Gottfried","given":"J. Michael","non-dropping-particle":"","parse-names":false,"suffix":""},{"dropping-particle":"","family":"Marbach","given":"Hubertus","non-dropping-particle":"","parse-names":false,"suffix":""}],"container-title":"Zeitschrift fur Physikalische Chemie","id":"ITEM-3","issue":"1-2","issued":{"date-parts":[["2009","1","1"]]},"page":"53-74","publisher":"Oldenbourg Wissenschaftsverlag GmbH","title":"Surface-confined coordination chemistry with porphyrins and phthalocyanines: Aspects of formation, electronic structure, and reactivity","type":"article-journal","volume":"223"},"uris":["http://www.mendeley.com/documents/?uuid=1c2eeced-97eb-3d4a-b493-0f86ffc977db"]},{"id":"ITEM-4","itemData":{"DOI":"10.1021/acs.jpcc.7b00518","ISSN":"19327455","abstract":"Using a combination of LEED, high-resolution XPS, XSW, and NEXAFS, we have studied the adsorption of cobalt(II) 5,10,15,20-tetraphenylporphyrin (CoTPP) on Ag(100) at 300 K. In agreement with previous studies on Ag(111), we find a charge transfer from the silver surface to the porphyrin molecule, reducing the metal center. At high coverages we observe a square-shaped 1.41 x 1.41 nm2 adsorption structure, which becomes more open at lower coverages. Because of the superior energy resolution of the Diamond i09 beamline, we are able to resolve a low-binding-energy shoulder in the C 1s spectrum, originating from the lower carbon atoms in the rotated phenyl rings. This is confirmed by XSW measurements, which also gives the adsorption heights of the other atoms in the molecule. In addition, the XSW and complementary NEXAFS measurements yield information about the rotation of the phenyl rings and the deformation of the macrocycle. (Figure Presented).","author":[{"dropping-particle":"","family":"Wechsler","given":"Daniel","non-dropping-particle":"","parse-names":false,"suffix":""},{"dropping-particle":"","family":"Franke","given":"Matthias","non-dropping-particle":"","parse-names":false,"suffix":""},{"dropping-particle":"","family":"Tariq","given":"Quratulain","non-dropping-particle":"","parse-names":false,"suffix":""},{"dropping-particle":"","family":"Zhang","given":"Liang","non-dropping-particle":"","parse-names":false,"suffix":""},{"dropping-particle":"","family":"Lee","given":"Tien Lin","non-dropping-particle":"","parse-names":false,"suffix":""},{"dropping-particle":"","family":"Thakur","given":"Pardeep Kumar","non-dropping-particle":"","parse-names":false,"suffix":""},{"dropping-particle":"","family":"Tsud","given":"Nataliya","non-dropping-particle":"","parse-names":false,"suffix":""},{"dropping-particle":"","family":"Bercha","given":"Sofiia","non-dropping-particle":"","parse-names":false,"suffix":""},{"dropping-particle":"","family":"Prince","given":"Kevin Charles","non-dropping-particle":"","parse-names":false,"suffix":""},{"dropping-particle":"","family":"Steinrück","given":"Hans Peter","non-dropping-particle":"","parse-names":false,"suffix":""},{"dropping-particle":"","family":"Lytken","given":"Ole","non-dropping-particle":"","parse-names":false,"suffix":""}],"container-title":"Journal of Physical Chemistry C","id":"ITEM-4","issue":"10","issued":{"date-parts":[["2017","3","16"]]},"page":"5667-5674","publisher":"American Chemical Society","title":"Adsorption Structure of Cobalt Tetraphenylporphyrin on Ag(100)","type":"article-journal","volume":"121"},"uris":["http://www.mendeley.com/documents/?uuid=1355d7a7-e706-3c77-8d9e-eec5be6f29e8"]},{"id":"ITEM-5","itemData":{"DOI":"10.1021/ja1093502","ISSN":"00027863","abstract":"The chemical bond between an adsorbed, laterally coordinated metal ion and a metal surface is affected by an additional axial ligand on the metal ion. This surface analogon of the trans effect was studied in detail using monolayers of various M(II)-tetraphenylporphyrins (MTTPs, M = Fe, Co, Zn) and their nitrosyl complexes on a Ag(111) surface. X-ray photoelectron spectroscopy (XPS) shows that the oxidation state of the Fe and Co (but not Zn) ions in the MTPP monolayers is reduced because of the interaction with the substrate. This partial reduction is accompanied by the appearance of new valence states in the UV photoelectron and scanning tunneling spectra (UPS and STS), revealing the covalent character of the ion-substrate bond. Subsequent coordination of nitric oxide (NO) to the metal ions (Fe, Co) reverses these surface-induced effects, resulting in an increase of the oxidation states and the disappearance of the new valence states. Removal of the NO ligands by thermal desorption restores the original spectroscopic features, indicating that the described processes are fully reversible. The NO coordination also changes the spin state and thus the magnetic properties of the metal ions. Density-functional theory (DFT) calculations on model systems provide structural and energetic data on the adsorbed molecules and the surface chemical bond. The calculations reveal that competition effects, similar to the trans effect, play a central role and lead to a mutual interference of the two axial ligands, NO and Ag, and their bonds to the metal center. These findings have important implications for sensor technology and catalysis using supported planar metal complexes, in which the activity of the metal center is sensitively influenced by the substrate. © 2011 American Chemical Society.","author":[{"dropping-particle":"","family":"Hieringer","given":"Wolfgang","non-dropping-particle":"","parse-names":false,"suffix":""},{"dropping-particle":"","family":"Flechtner","given":"Ken","non-dropping-particle":"","parse-names":false,"suffix":""},{"dropping-particle":"","family":"Kretschmann","given":"Andreas","non-dropping-particle":"","parse-names":false,"suffix":""},{"dropping-particle":"","family":"Seufert","given":"Knud","non-dropping-particle":"","parse-names":false,"suffix":""},{"dropping-particle":"","family":"Auwärter","given":"Willi","non-dropping-particle":"","parse-names":false,"suffix":""},{"dropping-particle":"V.","family":"Barth","given":"Johannes","non-dropping-particle":"","parse-names":false,"suffix":""},{"dropping-particle":"","family":"Görling","given":"Andreas","non-dropping-particle":"","parse-names":false,"suffix":""},{"dropping-particle":"","family":"Steinrück","given":"Hans Peter","non-dropping-particle":"","parse-names":false,"suffix":""},{"dropping-particle":"","family":"Gottfried","given":"J. Michael","non-dropping-particle":"","parse-names":false,"suffix":""}],"container-title":"Journal of the American Chemical Society","id":"ITEM-5","issue":"16","issued":{"date-parts":[["2011","4","27"]]},"page":"6206-6222","publisher":"American Chemical Society","title":"The surface trans effect: Influence of axial ligands on the surface chemical bonds of adsorbed metalloporphyrins","type":"article-journal","volume":"133"},"uris":["http://www.mendeley.com/documents/?uuid=9788bf72-6b56-3044-b22f-ab886510733c"]}],"mendeley":{"formattedCitation":"&lt;sup&gt;9,13,16–18&lt;/sup&gt;","plainTextFormattedCitation":"9,13,16–18","previouslyFormattedCitation":"&lt;sup&gt;9,13,16–18&lt;/sup&gt;"},"properties":{"noteIndex":0},"schema":"https://github.com/citation-style-language/schema/raw/master/csl-citation.json"}</w:instrText>
      </w:r>
      <w:r w:rsidRPr="00FB5D9D">
        <w:rPr>
          <w:lang w:val="en-GB"/>
        </w:rPr>
        <w:fldChar w:fldCharType="separate"/>
      </w:r>
      <w:r w:rsidRPr="00FB5D9D">
        <w:rPr>
          <w:lang w:val="en-GB"/>
        </w:rPr>
        <w:fldChar w:fldCharType="begin"/>
      </w:r>
      <w:r w:rsidRPr="00FB5D9D">
        <w:rPr>
          <w:lang w:val="en-GB"/>
        </w:rPr>
        <w:instrText>REF _Ref82089609 \r \h</w:instrText>
      </w:r>
      <w:r w:rsidRPr="00FB5D9D">
        <w:rPr>
          <w:lang w:val="en-GB"/>
        </w:rPr>
      </w:r>
      <w:r>
        <w:rPr>
          <w:lang w:val="en-GB"/>
        </w:rPr>
        <w:instrText xml:space="preserve"> \* MERGEFORMAT </w:instrText>
      </w:r>
      <w:r w:rsidRPr="00FB5D9D">
        <w:rPr>
          <w:lang w:val="en-GB"/>
        </w:rPr>
        <w:fldChar w:fldCharType="separate"/>
      </w:r>
      <w:r w:rsidRPr="00FB5D9D">
        <w:rPr>
          <w:lang w:val="en-GB"/>
        </w:rPr>
        <w:t>26</w:t>
      </w:r>
      <w:r w:rsidRPr="00FB5D9D">
        <w:rPr>
          <w:lang w:val="en-GB"/>
        </w:rPr>
        <w:fldChar w:fldCharType="end"/>
      </w:r>
      <w:r w:rsidRPr="00FB5D9D">
        <w:rPr>
          <w:lang w:val="en-GB"/>
        </w:rPr>
        <w:t>,</w:t>
      </w:r>
      <w:r w:rsidRPr="00FB5D9D">
        <w:rPr>
          <w:lang w:val="en-GB"/>
        </w:rPr>
        <w:fldChar w:fldCharType="end"/>
      </w:r>
      <w:r w:rsidRPr="00FB5D9D">
        <w:rPr>
          <w:lang w:val="en-GB"/>
        </w:rPr>
        <w:fldChar w:fldCharType="begin"/>
      </w:r>
      <w:r w:rsidRPr="00FB5D9D">
        <w:rPr>
          <w:lang w:val="en-GB"/>
        </w:rPr>
        <w:instrText>REF _Ref82095211 \r \h</w:instrText>
      </w:r>
      <w:r w:rsidRPr="00FB5D9D">
        <w:rPr>
          <w:lang w:val="en-GB"/>
        </w:rPr>
      </w:r>
      <w:r>
        <w:rPr>
          <w:lang w:val="en-GB"/>
        </w:rPr>
        <w:instrText xml:space="preserve"> \* MERGEFORMAT </w:instrText>
      </w:r>
      <w:r w:rsidRPr="00FB5D9D">
        <w:rPr>
          <w:lang w:val="en-GB"/>
        </w:rPr>
        <w:fldChar w:fldCharType="separate"/>
      </w:r>
      <w:r w:rsidRPr="00FB5D9D">
        <w:rPr>
          <w:lang w:val="en-GB"/>
        </w:rPr>
        <w:t>28</w:t>
      </w:r>
      <w:r w:rsidRPr="00FB5D9D">
        <w:rPr>
          <w:lang w:val="en-GB"/>
        </w:rPr>
        <w:fldChar w:fldCharType="end"/>
      </w:r>
      <w:r w:rsidRPr="00FB5D9D">
        <w:rPr>
          <w:lang w:val="en-GB"/>
        </w:rPr>
        <w:t>,</w:t>
      </w:r>
      <w:r w:rsidRPr="00FB5D9D">
        <w:rPr>
          <w:lang w:val="en-GB"/>
        </w:rPr>
        <w:fldChar w:fldCharType="begin"/>
      </w:r>
      <w:r w:rsidRPr="00FB5D9D">
        <w:rPr>
          <w:lang w:val="en-GB"/>
        </w:rPr>
        <w:instrText>REF _Ref82095884 \r \h</w:instrText>
      </w:r>
      <w:r w:rsidRPr="00FB5D9D">
        <w:rPr>
          <w:lang w:val="en-GB"/>
        </w:rPr>
      </w:r>
      <w:r>
        <w:rPr>
          <w:lang w:val="en-GB"/>
        </w:rPr>
        <w:instrText xml:space="preserve"> \* MERGEFORMAT </w:instrText>
      </w:r>
      <w:r w:rsidRPr="00FB5D9D">
        <w:rPr>
          <w:lang w:val="en-GB"/>
        </w:rPr>
        <w:fldChar w:fldCharType="separate"/>
      </w:r>
      <w:r w:rsidRPr="00FB5D9D">
        <w:rPr>
          <w:lang w:val="en-GB"/>
        </w:rPr>
        <w:t>30</w:t>
      </w:r>
      <w:r w:rsidRPr="00FB5D9D">
        <w:rPr>
          <w:lang w:val="en-GB"/>
        </w:rPr>
        <w:fldChar w:fldCharType="end"/>
      </w:r>
      <w:r w:rsidRPr="00FB5D9D">
        <w:rPr>
          <w:lang w:val="en-GB"/>
        </w:rPr>
        <w:t>,</w:t>
      </w:r>
      <w:r w:rsidRPr="00FB5D9D">
        <w:rPr>
          <w:lang w:val="en-GB"/>
        </w:rPr>
        <w:fldChar w:fldCharType="begin"/>
      </w:r>
      <w:r w:rsidRPr="00FB5D9D">
        <w:rPr>
          <w:lang w:val="en-GB"/>
        </w:rPr>
        <w:instrText>REF _Ref82095908 \r \h</w:instrText>
      </w:r>
      <w:r w:rsidRPr="00FB5D9D">
        <w:rPr>
          <w:lang w:val="en-GB"/>
        </w:rPr>
      </w:r>
      <w:r>
        <w:rPr>
          <w:lang w:val="en-GB"/>
        </w:rPr>
        <w:instrText xml:space="preserve"> \* MERGEFORMAT </w:instrText>
      </w:r>
      <w:r w:rsidRPr="00FB5D9D">
        <w:rPr>
          <w:lang w:val="en-GB"/>
        </w:rPr>
        <w:fldChar w:fldCharType="separate"/>
      </w:r>
      <w:r w:rsidRPr="00FB5D9D">
        <w:rPr>
          <w:lang w:val="en-GB"/>
        </w:rPr>
        <w:t>31</w:t>
      </w:r>
      <w:r w:rsidRPr="00FB5D9D">
        <w:rPr>
          <w:lang w:val="en-GB"/>
        </w:rPr>
        <w:fldChar w:fldCharType="end"/>
      </w:r>
      <w:r w:rsidRPr="00FB5D9D">
        <w:rPr>
          <w:lang w:val="en-GB"/>
        </w:rPr>
        <w:t>], while the Au surface does not affect the Co oxidation state [</w:t>
      </w:r>
      <w:r w:rsidRPr="00FB5D9D">
        <w:rPr>
          <w:lang w:val="en-GB"/>
        </w:rPr>
        <w:fldChar w:fldCharType="begin"/>
      </w:r>
      <w:r w:rsidRPr="00FB5D9D">
        <w:rPr>
          <w:lang w:val="en-GB"/>
        </w:rPr>
        <w:instrText>REF _Ref82088372 \r \h</w:instrText>
      </w:r>
      <w:r w:rsidRPr="00FB5D9D">
        <w:rPr>
          <w:lang w:val="en-GB"/>
        </w:rPr>
      </w:r>
      <w:r>
        <w:rPr>
          <w:lang w:val="en-GB"/>
        </w:rPr>
        <w:instrText xml:space="preserve"> \* MERGEFORMAT </w:instrText>
      </w:r>
      <w:r w:rsidRPr="00FB5D9D">
        <w:rPr>
          <w:lang w:val="en-GB"/>
        </w:rPr>
        <w:fldChar w:fldCharType="separate"/>
      </w:r>
      <w:r w:rsidRPr="00FB5D9D">
        <w:rPr>
          <w:lang w:val="en-GB"/>
        </w:rPr>
        <w:t>18</w:t>
      </w:r>
      <w:r w:rsidRPr="00FB5D9D">
        <w:rPr>
          <w:lang w:val="en-GB"/>
        </w:rPr>
        <w:fldChar w:fldCharType="end"/>
      </w:r>
      <w:r w:rsidRPr="00FB5D9D">
        <w:rPr>
          <w:lang w:val="en-GB"/>
        </w:rPr>
        <w:t>,</w:t>
      </w:r>
      <w:r w:rsidRPr="00FB5D9D">
        <w:rPr>
          <w:lang w:val="en-GB"/>
        </w:rPr>
        <w:fldChar w:fldCharType="begin"/>
      </w:r>
      <w:r w:rsidRPr="00FB5D9D">
        <w:rPr>
          <w:lang w:val="en-GB"/>
        </w:rPr>
        <w:instrText>REF _Ref82095282 \r \h</w:instrText>
      </w:r>
      <w:r w:rsidRPr="00FB5D9D">
        <w:rPr>
          <w:lang w:val="en-GB"/>
        </w:rPr>
      </w:r>
      <w:r>
        <w:rPr>
          <w:lang w:val="en-GB"/>
        </w:rPr>
        <w:instrText xml:space="preserve"> \* MERGEFORMAT </w:instrText>
      </w:r>
      <w:r w:rsidRPr="00FB5D9D">
        <w:rPr>
          <w:lang w:val="en-GB"/>
        </w:rPr>
        <w:fldChar w:fldCharType="separate"/>
      </w:r>
      <w:r w:rsidRPr="00FB5D9D">
        <w:rPr>
          <w:lang w:val="en-GB"/>
        </w:rPr>
        <w:t>20</w:t>
      </w:r>
      <w:r w:rsidRPr="00FB5D9D">
        <w:rPr>
          <w:lang w:val="en-GB"/>
        </w:rPr>
        <w:fldChar w:fldCharType="end"/>
      </w:r>
      <w:r w:rsidRPr="00FB5D9D">
        <w:rPr>
          <w:lang w:val="en-GB"/>
        </w:rPr>
        <w:t>-</w:t>
      </w:r>
      <w:r w:rsidRPr="00FB5D9D">
        <w:rPr>
          <w:lang w:val="en-GB"/>
        </w:rPr>
        <w:fldChar w:fldCharType="begin"/>
      </w:r>
      <w:r w:rsidRPr="00FB5D9D">
        <w:rPr>
          <w:lang w:val="en-GB"/>
        </w:rPr>
        <w:instrText>REF _Ref82088965 \r \h</w:instrText>
      </w:r>
      <w:r w:rsidRPr="00FB5D9D">
        <w:rPr>
          <w:lang w:val="en-GB"/>
        </w:rPr>
      </w:r>
      <w:r>
        <w:rPr>
          <w:lang w:val="en-GB"/>
        </w:rPr>
        <w:instrText xml:space="preserve"> \* MERGEFORMAT </w:instrText>
      </w:r>
      <w:r w:rsidRPr="00FB5D9D">
        <w:rPr>
          <w:lang w:val="en-GB"/>
        </w:rPr>
        <w:fldChar w:fldCharType="separate"/>
      </w:r>
      <w:r w:rsidRPr="00FB5D9D">
        <w:rPr>
          <w:lang w:val="en-GB"/>
        </w:rPr>
        <w:t>21</w:t>
      </w:r>
      <w:r w:rsidRPr="00FB5D9D">
        <w:rPr>
          <w:lang w:val="en-GB"/>
        </w:rPr>
        <w:fldChar w:fldCharType="end"/>
      </w:r>
      <w:r w:rsidRPr="00FB5D9D">
        <w:rPr>
          <w:lang w:val="en-GB"/>
        </w:rPr>
        <w:t>,</w:t>
      </w:r>
      <w:r w:rsidRPr="00FB5D9D">
        <w:rPr>
          <w:lang w:val="en-GB"/>
        </w:rPr>
        <w:fldChar w:fldCharType="begin"/>
      </w:r>
      <w:r w:rsidRPr="00FB5D9D">
        <w:rPr>
          <w:lang w:val="en-GB"/>
        </w:rPr>
        <w:instrText>REF _Ref82096715 \r \h</w:instrText>
      </w:r>
      <w:r w:rsidRPr="00FB5D9D">
        <w:rPr>
          <w:lang w:val="en-GB"/>
        </w:rPr>
      </w:r>
      <w:r>
        <w:rPr>
          <w:lang w:val="en-GB"/>
        </w:rPr>
        <w:instrText xml:space="preserve"> \* MERGEFORMAT </w:instrText>
      </w:r>
      <w:r w:rsidRPr="00FB5D9D">
        <w:rPr>
          <w:lang w:val="en-GB"/>
        </w:rPr>
        <w:fldChar w:fldCharType="separate"/>
      </w:r>
      <w:r w:rsidRPr="00FB5D9D">
        <w:rPr>
          <w:lang w:val="en-GB"/>
        </w:rPr>
        <w:t>32</w:t>
      </w:r>
      <w:r w:rsidRPr="00FB5D9D">
        <w:rPr>
          <w:lang w:val="en-GB"/>
        </w:rPr>
        <w:fldChar w:fldCharType="end"/>
      </w:r>
      <w:r w:rsidRPr="00FB5D9D">
        <w:rPr>
          <w:lang w:val="en-GB"/>
        </w:rPr>
        <w:t xml:space="preserve">]. Even though a rationale </w:t>
      </w:r>
      <w:r w:rsidRPr="00FB5D9D">
        <w:rPr>
          <w:rFonts w:ascii="Times New Roman" w:hAnsi="Times New Roman"/>
          <w:lang/>
        </w:rPr>
        <w:t>for</w:t>
      </w:r>
      <w:r w:rsidRPr="00FB5D9D">
        <w:rPr>
          <w:lang w:val="en-GB"/>
        </w:rPr>
        <w:t xml:space="preserve"> these evidences has been provided by periodic DFT numerical experiments [</w:t>
      </w:r>
      <w:r w:rsidRPr="00FB5D9D">
        <w:rPr>
          <w:lang w:val="en-GB"/>
        </w:rPr>
        <w:fldChar w:fldCharType="begin"/>
      </w:r>
      <w:r w:rsidRPr="00FB5D9D">
        <w:rPr>
          <w:lang w:val="en-GB"/>
        </w:rPr>
        <w:instrText>REF _Ref82088372 \r \h</w:instrText>
      </w:r>
      <w:r w:rsidRPr="00FB5D9D">
        <w:rPr>
          <w:lang w:val="en-GB"/>
        </w:rPr>
      </w:r>
      <w:r>
        <w:rPr>
          <w:lang w:val="en-GB"/>
        </w:rPr>
        <w:instrText xml:space="preserve"> \* MERGEFORMAT </w:instrText>
      </w:r>
      <w:r w:rsidRPr="00FB5D9D">
        <w:rPr>
          <w:lang w:val="en-GB"/>
        </w:rPr>
        <w:fldChar w:fldCharType="separate"/>
      </w:r>
      <w:r w:rsidRPr="00FB5D9D">
        <w:rPr>
          <w:lang w:val="en-GB"/>
        </w:rPr>
        <w:t>18</w:t>
      </w:r>
      <w:r w:rsidRPr="00FB5D9D">
        <w:rPr>
          <w:lang w:val="en-GB"/>
        </w:rPr>
        <w:fldChar w:fldCharType="end"/>
      </w:r>
      <w:r w:rsidRPr="00FB5D9D">
        <w:rPr>
          <w:lang w:val="en-GB"/>
        </w:rPr>
        <w:t>,</w:t>
      </w:r>
      <w:r w:rsidRPr="00FB5D9D">
        <w:rPr>
          <w:lang w:val="en-GB"/>
        </w:rPr>
        <w:fldChar w:fldCharType="begin"/>
      </w:r>
      <w:r w:rsidRPr="00FB5D9D">
        <w:rPr>
          <w:lang w:val="en-GB"/>
        </w:rPr>
        <w:instrText>REF _Ref82088965 \r \h</w:instrText>
      </w:r>
      <w:r w:rsidRPr="00FB5D9D">
        <w:rPr>
          <w:lang w:val="en-GB"/>
        </w:rPr>
      </w:r>
      <w:r>
        <w:rPr>
          <w:lang w:val="en-GB"/>
        </w:rPr>
        <w:instrText xml:space="preserve"> \* MERGEFORMAT </w:instrText>
      </w:r>
      <w:r w:rsidRPr="00FB5D9D">
        <w:rPr>
          <w:lang w:val="en-GB"/>
        </w:rPr>
        <w:fldChar w:fldCharType="separate"/>
      </w:r>
      <w:r w:rsidRPr="00FB5D9D">
        <w:rPr>
          <w:lang w:val="en-GB"/>
        </w:rPr>
        <w:t>21</w:t>
      </w:r>
      <w:r w:rsidRPr="00FB5D9D">
        <w:rPr>
          <w:lang w:val="en-GB"/>
        </w:rPr>
        <w:fldChar w:fldCharType="end"/>
      </w:r>
      <w:r w:rsidRPr="00FB5D9D">
        <w:rPr>
          <w:lang w:val="en-GB"/>
        </w:rPr>
        <w:t>,</w:t>
      </w:r>
      <w:r w:rsidRPr="00FB5D9D">
        <w:rPr>
          <w:lang w:val="en-GB"/>
        </w:rPr>
        <w:fldChar w:fldCharType="begin"/>
      </w:r>
      <w:r w:rsidRPr="00FB5D9D">
        <w:rPr>
          <w:lang w:val="en-GB"/>
        </w:rPr>
        <w:instrText>REF _Ref82089106 \r \h</w:instrText>
      </w:r>
      <w:r w:rsidRPr="00FB5D9D">
        <w:rPr>
          <w:lang w:val="en-GB"/>
        </w:rPr>
      </w:r>
      <w:r>
        <w:rPr>
          <w:lang w:val="en-GB"/>
        </w:rPr>
        <w:instrText xml:space="preserve"> \* MERGEFORMAT </w:instrText>
      </w:r>
      <w:r w:rsidRPr="00FB5D9D">
        <w:rPr>
          <w:lang w:val="en-GB"/>
        </w:rPr>
        <w:fldChar w:fldCharType="separate"/>
      </w:r>
      <w:r w:rsidRPr="00FB5D9D">
        <w:rPr>
          <w:lang w:val="en-GB"/>
        </w:rPr>
        <w:t>25</w:t>
      </w:r>
      <w:r w:rsidRPr="00FB5D9D">
        <w:rPr>
          <w:lang w:val="en-GB"/>
        </w:rPr>
        <w:fldChar w:fldCharType="end"/>
      </w:r>
      <w:r w:rsidRPr="00FB5D9D">
        <w:rPr>
          <w:lang w:val="en-GB"/>
        </w:rPr>
        <w:t>,</w:t>
      </w:r>
      <w:r w:rsidRPr="00FB5D9D">
        <w:rPr>
          <w:lang w:val="en-GB"/>
        </w:rPr>
        <w:fldChar w:fldCharType="begin"/>
      </w:r>
      <w:r w:rsidRPr="00FB5D9D">
        <w:rPr>
          <w:lang w:val="en-GB"/>
        </w:rPr>
        <w:instrText>REF _Ref82089609 \r \h</w:instrText>
      </w:r>
      <w:r w:rsidRPr="00FB5D9D">
        <w:rPr>
          <w:lang w:val="en-GB"/>
        </w:rPr>
      </w:r>
      <w:r>
        <w:rPr>
          <w:lang w:val="en-GB"/>
        </w:rPr>
        <w:instrText xml:space="preserve"> \* MERGEFORMAT </w:instrText>
      </w:r>
      <w:r w:rsidRPr="00FB5D9D">
        <w:rPr>
          <w:lang w:val="en-GB"/>
        </w:rPr>
        <w:fldChar w:fldCharType="separate"/>
      </w:r>
      <w:r w:rsidRPr="00FB5D9D">
        <w:rPr>
          <w:lang w:val="en-GB"/>
        </w:rPr>
        <w:t>26</w:t>
      </w:r>
      <w:r w:rsidRPr="00FB5D9D">
        <w:rPr>
          <w:lang w:val="en-GB"/>
        </w:rPr>
        <w:fldChar w:fldCharType="end"/>
      </w:r>
      <w:r w:rsidRPr="00FB5D9D">
        <w:rPr>
          <w:lang w:val="en-GB"/>
        </w:rPr>
        <w:t>,</w:t>
      </w:r>
      <w:r w:rsidRPr="00FB5D9D">
        <w:rPr>
          <w:lang w:val="en-GB"/>
        </w:rPr>
        <w:fldChar w:fldCharType="begin"/>
      </w:r>
      <w:r w:rsidRPr="00FB5D9D">
        <w:rPr>
          <w:lang w:val="en-GB"/>
        </w:rPr>
        <w:instrText>REF _Ref82095213 \r \h</w:instrText>
      </w:r>
      <w:r w:rsidRPr="00FB5D9D">
        <w:rPr>
          <w:lang w:val="en-GB"/>
        </w:rPr>
      </w:r>
      <w:r>
        <w:rPr>
          <w:lang w:val="en-GB"/>
        </w:rPr>
        <w:instrText xml:space="preserve"> \* MERGEFORMAT </w:instrText>
      </w:r>
      <w:r w:rsidRPr="00FB5D9D">
        <w:rPr>
          <w:lang w:val="en-GB"/>
        </w:rPr>
        <w:fldChar w:fldCharType="separate"/>
      </w:r>
      <w:r w:rsidRPr="00FB5D9D">
        <w:rPr>
          <w:lang w:val="en-GB"/>
        </w:rPr>
        <w:t>29</w:t>
      </w:r>
      <w:r w:rsidRPr="00FB5D9D">
        <w:rPr>
          <w:lang w:val="en-GB"/>
        </w:rPr>
        <w:fldChar w:fldCharType="end"/>
      </w:r>
      <w:r w:rsidRPr="00FB5D9D">
        <w:rPr>
          <w:lang w:val="en-GB"/>
        </w:rPr>
        <w:t>,</w:t>
      </w:r>
      <w:r w:rsidRPr="00FB5D9D">
        <w:rPr>
          <w:lang w:val="en-GB"/>
        </w:rPr>
        <w:fldChar w:fldCharType="begin"/>
      </w:r>
      <w:r w:rsidRPr="00FB5D9D">
        <w:rPr>
          <w:lang w:val="en-GB"/>
        </w:rPr>
        <w:instrText>REF _Ref82097156 \r \h</w:instrText>
      </w:r>
      <w:r w:rsidRPr="00FB5D9D">
        <w:rPr>
          <w:lang w:val="en-GB"/>
        </w:rPr>
      </w:r>
      <w:r>
        <w:rPr>
          <w:lang w:val="en-GB"/>
        </w:rPr>
        <w:instrText xml:space="preserve"> \* MERGEFORMAT </w:instrText>
      </w:r>
      <w:r w:rsidRPr="00FB5D9D">
        <w:rPr>
          <w:lang w:val="en-GB"/>
        </w:rPr>
        <w:fldChar w:fldCharType="separate"/>
      </w:r>
      <w:r w:rsidRPr="00FB5D9D">
        <w:rPr>
          <w:lang w:val="en-GB"/>
        </w:rPr>
        <w:t>33</w:t>
      </w:r>
      <w:r w:rsidRPr="00FB5D9D">
        <w:rPr>
          <w:lang w:val="en-GB"/>
        </w:rPr>
        <w:fldChar w:fldCharType="end"/>
      </w:r>
      <w:r w:rsidRPr="00FB5D9D">
        <w:rPr>
          <w:lang w:val="en-GB"/>
        </w:rPr>
        <w:t xml:space="preserve">], it has been shown that less expensive calculations may adequately model experimental results (“switch on”/”switch off” or </w:t>
      </w:r>
      <w:r w:rsidRPr="00FB5D9D">
        <w:rPr>
          <w:i/>
          <w:lang w:val="en-GB"/>
        </w:rPr>
        <w:t>viceversa</w:t>
      </w:r>
      <w:r w:rsidRPr="00FB5D9D">
        <w:rPr>
          <w:lang w:val="en-GB"/>
        </w:rPr>
        <w:t>) (</w:t>
      </w:r>
      <w:r w:rsidRPr="00FB5D9D">
        <w:rPr>
          <w:lang w:val="en-GB"/>
        </w:rPr>
        <w:fldChar w:fldCharType="begin"/>
      </w:r>
      <w:r w:rsidRPr="00FB5D9D">
        <w:rPr>
          <w:lang w:val="en-GB"/>
        </w:rPr>
        <w:instrText xml:space="preserve"> REF _Ref82072525 \r \h </w:instrText>
      </w:r>
      <w:r w:rsidRPr="00FB5D9D">
        <w:rPr>
          <w:lang w:val="en-GB"/>
        </w:rPr>
      </w:r>
      <w:r>
        <w:rPr>
          <w:lang w:val="en-GB"/>
        </w:rPr>
        <w:instrText xml:space="preserve"> \* MERGEFORMAT </w:instrText>
      </w:r>
      <w:r w:rsidRPr="00FB5D9D">
        <w:rPr>
          <w:lang w:val="en-GB"/>
        </w:rPr>
        <w:fldChar w:fldCharType="separate"/>
      </w:r>
      <w:r w:rsidRPr="00FB5D9D">
        <w:rPr>
          <w:lang w:val="en-GB"/>
        </w:rPr>
        <w:t>15</w:t>
      </w:r>
      <w:r w:rsidRPr="00FB5D9D">
        <w:rPr>
          <w:lang w:val="en-GB"/>
        </w:rPr>
        <w:fldChar w:fldCharType="end"/>
      </w:r>
      <w:r w:rsidRPr="00FB5D9D">
        <w:rPr>
          <w:lang w:val="en-GB"/>
        </w:rPr>
        <w:t>,</w:t>
      </w:r>
      <w:r w:rsidRPr="00FB5D9D">
        <w:rPr>
          <w:lang w:val="en-GB"/>
        </w:rPr>
        <w:fldChar w:fldCharType="begin"/>
      </w:r>
      <w:r w:rsidRPr="00FB5D9D">
        <w:rPr>
          <w:lang w:val="en-GB"/>
        </w:rPr>
        <w:instrText xml:space="preserve"> REF _Ref87509407 \r \h </w:instrText>
      </w:r>
      <w:r w:rsidRPr="00FB5D9D">
        <w:rPr>
          <w:lang w:val="en-GB"/>
        </w:rPr>
      </w:r>
      <w:r>
        <w:rPr>
          <w:lang w:val="en-GB"/>
        </w:rPr>
        <w:instrText xml:space="preserve"> \* MERGEFORMAT </w:instrText>
      </w:r>
      <w:r w:rsidRPr="00FB5D9D">
        <w:rPr>
          <w:lang w:val="en-GB"/>
        </w:rPr>
        <w:fldChar w:fldCharType="separate"/>
      </w:r>
      <w:r w:rsidRPr="00FB5D9D">
        <w:rPr>
          <w:lang w:val="en-GB"/>
        </w:rPr>
        <w:t>17</w:t>
      </w:r>
      <w:r w:rsidRPr="00FB5D9D">
        <w:rPr>
          <w:lang w:val="en-GB"/>
        </w:rPr>
        <w:fldChar w:fldCharType="end"/>
      </w:r>
      <w:r w:rsidRPr="00FB5D9D">
        <w:rPr>
          <w:lang w:val="en-GB"/>
        </w:rPr>
        <w:t>,</w:t>
      </w:r>
      <w:r w:rsidRPr="00FB5D9D">
        <w:rPr>
          <w:lang w:val="en-GB"/>
        </w:rPr>
        <w:fldChar w:fldCharType="begin"/>
      </w:r>
      <w:r w:rsidRPr="00FB5D9D">
        <w:rPr>
          <w:lang w:val="en-GB"/>
        </w:rPr>
        <w:instrText xml:space="preserve"> REF _Ref82089106 \r \h </w:instrText>
      </w:r>
      <w:r w:rsidRPr="00FB5D9D">
        <w:rPr>
          <w:lang w:val="en-GB"/>
        </w:rPr>
      </w:r>
      <w:r>
        <w:rPr>
          <w:lang w:val="en-GB"/>
        </w:rPr>
        <w:instrText xml:space="preserve"> \* MERGEFORMAT </w:instrText>
      </w:r>
      <w:r w:rsidRPr="00FB5D9D">
        <w:rPr>
          <w:lang w:val="en-GB"/>
        </w:rPr>
        <w:fldChar w:fldCharType="separate"/>
      </w:r>
      <w:r w:rsidRPr="00FB5D9D">
        <w:rPr>
          <w:lang w:val="en-GB"/>
        </w:rPr>
        <w:t>25</w:t>
      </w:r>
      <w:r w:rsidRPr="00FB5D9D">
        <w:rPr>
          <w:lang w:val="en-GB"/>
        </w:rPr>
        <w:fldChar w:fldCharType="end"/>
      </w:r>
      <w:r w:rsidRPr="00FB5D9D">
        <w:rPr>
          <w:lang w:val="en-GB"/>
        </w:rPr>
        <w:t xml:space="preserve">). </w:t>
      </w:r>
    </w:p>
    <w:p w:rsidR="00FB5D9D" w:rsidRPr="00FB5D9D" w:rsidRDefault="00FB5D9D" w:rsidP="00FB5D9D">
      <w:pPr>
        <w:pStyle w:val="MDPI31text"/>
        <w:rPr>
          <w:lang w:val="en-GB"/>
        </w:rPr>
      </w:pPr>
    </w:p>
    <w:p w:rsidR="00FB5D9D" w:rsidRPr="00FB5D9D" w:rsidRDefault="00FB5D9D" w:rsidP="00FB5D9D">
      <w:pPr>
        <w:pStyle w:val="MDPI31text"/>
        <w:ind w:hanging="56"/>
        <w:jc w:val="center"/>
        <w:rPr>
          <w:lang w:val="en-GB"/>
        </w:rPr>
      </w:pPr>
      <w:r w:rsidRPr="00FB5D9D">
        <w:rPr>
          <w:noProof/>
          <w:lang w:eastAsia="en-US" w:bidi="ar-SA"/>
        </w:rPr>
        <w:drawing>
          <wp:inline distT="0" distB="0" distL="0" distR="0" wp14:anchorId="5B741A51" wp14:editId="10228CCA">
            <wp:extent cx="4851441" cy="2700000"/>
            <wp:effectExtent l="0" t="0" r="0" b="571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8" cstate="print">
                      <a:extLst>
                        <a:ext uri="{28A0092B-C50C-407E-A947-70E740481C1C}">
                          <a14:useLocalDpi xmlns:a14="http://schemas.microsoft.com/office/drawing/2010/main" val="0"/>
                        </a:ext>
                      </a:extLst>
                    </a:blip>
                    <a:srcRect t="2201" r="1677" b="2981"/>
                    <a:stretch/>
                  </pic:blipFill>
                  <pic:spPr bwMode="auto">
                    <a:xfrm>
                      <a:off x="0" y="0"/>
                      <a:ext cx="4851441" cy="2700000"/>
                    </a:xfrm>
                    <a:prstGeom prst="rect">
                      <a:avLst/>
                    </a:prstGeom>
                    <a:ln>
                      <a:noFill/>
                    </a:ln>
                    <a:extLst>
                      <a:ext uri="{53640926-AAD7-44D8-BBD7-CCE9431645EC}">
                        <a14:shadowObscured xmlns:a14="http://schemas.microsoft.com/office/drawing/2010/main"/>
                      </a:ext>
                    </a:extLst>
                  </pic:spPr>
                </pic:pic>
              </a:graphicData>
            </a:graphic>
          </wp:inline>
        </w:drawing>
      </w:r>
    </w:p>
    <w:p w:rsidR="00FB5D9D" w:rsidRPr="00FB5D9D" w:rsidRDefault="00FB5D9D" w:rsidP="00FB5D9D">
      <w:pPr>
        <w:pStyle w:val="RSCB02ArticleText"/>
        <w:ind w:left="2694"/>
        <w:rPr>
          <w:rFonts w:ascii="Palatino Linotype" w:hAnsi="Palatino Linotype"/>
          <w:sz w:val="16"/>
          <w:szCs w:val="16"/>
        </w:rPr>
      </w:pPr>
      <w:r w:rsidRPr="00FB5D9D">
        <w:rPr>
          <w:rFonts w:ascii="Palatino Linotype" w:hAnsi="Palatino Linotype"/>
          <w:b/>
          <w:sz w:val="16"/>
          <w:szCs w:val="16"/>
        </w:rPr>
        <w:t>Scheme 1</w:t>
      </w:r>
      <w:r w:rsidRPr="00FB5D9D">
        <w:rPr>
          <w:rFonts w:ascii="Palatino Linotype" w:hAnsi="Palatino Linotype"/>
          <w:sz w:val="16"/>
          <w:szCs w:val="16"/>
        </w:rPr>
        <w:t xml:space="preserve">. A schematic representation of the molecular clusters adopted to model the MS–CoTPP, the CoTPP–L and the MS–CoTPP–L interactions. Grey, white, blue, light blue, red and orange spheres represent C, H, N, Co, O and the MS metal (MS = Cu, Ag or Au) atoms, respectively. A schematic sketch of isolated and interacting systems is reported in the inset. </w:t>
      </w:r>
    </w:p>
    <w:p w:rsidR="00FB5D9D" w:rsidRPr="00FB5D9D" w:rsidRDefault="00FB5D9D" w:rsidP="00FB5D9D">
      <w:pPr>
        <w:pStyle w:val="MDPI31text"/>
        <w:ind w:hanging="56"/>
        <w:rPr>
          <w:lang w:val="en-GB"/>
        </w:rPr>
      </w:pPr>
    </w:p>
    <w:p w:rsidR="00FB5D9D" w:rsidRPr="00FB5D9D" w:rsidRDefault="00FB5D9D" w:rsidP="00FB5D9D">
      <w:pPr>
        <w:pStyle w:val="MDPI31text"/>
        <w:rPr>
          <w:lang w:val="en-GB"/>
        </w:rPr>
      </w:pPr>
      <w:r w:rsidRPr="00FB5D9D">
        <w:rPr>
          <w:lang w:val="en-GB"/>
        </w:rPr>
        <w:t xml:space="preserve">In this contribution, we present and discuss the outcomes of a series of DFT-based calculations carried out by adopting the molecular cluster model to rationalize and hopefully predict the magnetic behaviour of CoTPP surface-supported on different </w:t>
      </w:r>
      <w:r w:rsidRPr="00FB5D9D">
        <w:rPr>
          <w:lang w:val="en-GB"/>
        </w:rPr>
        <w:lastRenderedPageBreak/>
        <w:t>metallic surfaces (Scheme 1), herein mimicked by a single atom (hereafter, MS; see below), and interacting at the same time with diverse L (CO, NH</w:t>
      </w:r>
      <w:r w:rsidRPr="00FB5D9D">
        <w:rPr>
          <w:vertAlign w:val="subscript"/>
          <w:lang w:val="en-GB"/>
        </w:rPr>
        <w:t>3</w:t>
      </w:r>
      <w:r w:rsidRPr="00FB5D9D">
        <w:rPr>
          <w:lang w:val="en-GB"/>
        </w:rPr>
        <w:t>, NO, NO</w:t>
      </w:r>
      <w:r w:rsidRPr="00FB5D9D">
        <w:rPr>
          <w:vertAlign w:val="subscript"/>
          <w:lang w:val="en-GB"/>
        </w:rPr>
        <w:t>2</w:t>
      </w:r>
      <w:r w:rsidRPr="00FB5D9D">
        <w:rPr>
          <w:lang w:val="en-GB"/>
        </w:rPr>
        <w:t xml:space="preserve"> and O</w:t>
      </w:r>
      <w:r w:rsidRPr="00FB5D9D">
        <w:rPr>
          <w:vertAlign w:val="subscript"/>
          <w:lang w:val="en-GB"/>
        </w:rPr>
        <w:t>2</w:t>
      </w:r>
      <w:r w:rsidRPr="00FB5D9D">
        <w:rPr>
          <w:lang w:val="en-GB"/>
        </w:rPr>
        <w:t>, Scheme 1).</w:t>
      </w:r>
    </w:p>
    <w:p w:rsidR="00FB5D9D" w:rsidRPr="00FB5D9D" w:rsidRDefault="00FB5D9D" w:rsidP="00FB5D9D">
      <w:pPr>
        <w:pStyle w:val="MDPI21heading1"/>
        <w:spacing w:after="240"/>
        <w:rPr>
          <w:lang w:val="en-GB"/>
        </w:rPr>
      </w:pPr>
      <w:r w:rsidRPr="00FB5D9D">
        <w:rPr>
          <w:lang w:val="en-GB" w:eastAsia="zh-CN"/>
        </w:rPr>
        <w:t xml:space="preserve">2. </w:t>
      </w:r>
      <w:r w:rsidRPr="00FB5D9D">
        <w:rPr>
          <w:lang w:val="en-GB"/>
        </w:rPr>
        <w:t>Computational Details</w:t>
      </w:r>
    </w:p>
    <w:p w:rsidR="00FB5D9D" w:rsidRPr="00FB5D9D" w:rsidRDefault="00FB5D9D" w:rsidP="00FB5D9D">
      <w:pPr>
        <w:pStyle w:val="MDPI31text"/>
        <w:rPr>
          <w:lang w:val="en-GB"/>
        </w:rPr>
      </w:pPr>
      <w:r w:rsidRPr="00FB5D9D">
        <w:rPr>
          <w:lang w:val="en-GB"/>
        </w:rPr>
        <w:t>Geometrical parameters of the adopted clusters have been optimized without any constraint by exploiting the Amsterdam Density Functional (ADF) suite of programs [</w:t>
      </w:r>
      <w:r w:rsidRPr="00FB5D9D">
        <w:rPr>
          <w:lang w:val="en-GB"/>
        </w:rPr>
        <w:fldChar w:fldCharType="begin"/>
      </w:r>
      <w:r w:rsidRPr="00FB5D9D">
        <w:rPr>
          <w:lang w:val="en-GB"/>
        </w:rPr>
        <w:instrText>REF _Ref82099582 \r \h</w:instrText>
      </w:r>
      <w:r w:rsidRPr="00FB5D9D">
        <w:rPr>
          <w:lang w:val="en-GB"/>
        </w:rPr>
      </w:r>
      <w:r>
        <w:rPr>
          <w:lang w:val="en-GB"/>
        </w:rPr>
        <w:instrText xml:space="preserve"> \* MERGEFORMAT </w:instrText>
      </w:r>
      <w:r w:rsidRPr="00FB5D9D">
        <w:rPr>
          <w:lang w:val="en-GB"/>
        </w:rPr>
        <w:fldChar w:fldCharType="separate"/>
      </w:r>
      <w:r w:rsidRPr="00FB5D9D">
        <w:rPr>
          <w:lang w:val="en-GB"/>
        </w:rPr>
        <w:t>34</w:t>
      </w:r>
      <w:r w:rsidRPr="00FB5D9D">
        <w:rPr>
          <w:lang w:val="en-GB"/>
        </w:rPr>
        <w:fldChar w:fldCharType="end"/>
      </w:r>
      <w:r w:rsidRPr="00FB5D9D">
        <w:rPr>
          <w:lang w:val="en-GB"/>
        </w:rPr>
        <w:t>-</w:t>
      </w:r>
      <w:r w:rsidRPr="00FB5D9D">
        <w:rPr>
          <w:lang w:val="en-GB"/>
        </w:rPr>
        <w:fldChar w:fldCharType="begin"/>
      </w:r>
      <w:r w:rsidRPr="00FB5D9D">
        <w:rPr>
          <w:lang w:val="en-GB"/>
        </w:rPr>
        <w:instrText>REF _Ref82099584 \r \h</w:instrText>
      </w:r>
      <w:r w:rsidRPr="00FB5D9D">
        <w:rPr>
          <w:lang w:val="en-GB"/>
        </w:rPr>
      </w:r>
      <w:r>
        <w:rPr>
          <w:lang w:val="en-GB"/>
        </w:rPr>
        <w:instrText xml:space="preserve"> \* MERGEFORMAT </w:instrText>
      </w:r>
      <w:r w:rsidRPr="00FB5D9D">
        <w:rPr>
          <w:lang w:val="en-GB"/>
        </w:rPr>
        <w:fldChar w:fldCharType="separate"/>
      </w:r>
      <w:r w:rsidRPr="00FB5D9D">
        <w:rPr>
          <w:lang w:val="en-GB"/>
        </w:rPr>
        <w:t>35</w:t>
      </w:r>
      <w:r w:rsidRPr="00FB5D9D">
        <w:rPr>
          <w:lang w:val="en-GB"/>
        </w:rPr>
        <w:fldChar w:fldCharType="end"/>
      </w:r>
      <w:r w:rsidRPr="00FB5D9D">
        <w:rPr>
          <w:lang w:val="en-GB"/>
        </w:rPr>
        <w:t>]. Scalar relativistic (SR) spin-unrestricted calculations have been carried out by adopting the Zeroth Order Regular Approximation (ZORA [</w:t>
      </w:r>
      <w:r w:rsidRPr="00FB5D9D">
        <w:rPr>
          <w:lang w:val="en-GB"/>
        </w:rPr>
        <w:fldChar w:fldCharType="begin"/>
      </w:r>
      <w:r w:rsidRPr="00FB5D9D">
        <w:rPr>
          <w:lang w:val="en-GB"/>
        </w:rPr>
        <w:instrText>REF _Ref82099677 \r \h</w:instrText>
      </w:r>
      <w:r w:rsidRPr="00FB5D9D">
        <w:rPr>
          <w:lang w:val="en-GB"/>
        </w:rPr>
      </w:r>
      <w:r>
        <w:rPr>
          <w:lang w:val="en-GB"/>
        </w:rPr>
        <w:instrText xml:space="preserve"> \* MERGEFORMAT </w:instrText>
      </w:r>
      <w:r w:rsidRPr="00FB5D9D">
        <w:rPr>
          <w:lang w:val="en-GB"/>
        </w:rPr>
        <w:fldChar w:fldCharType="separate"/>
      </w:r>
      <w:r w:rsidRPr="00FB5D9D">
        <w:rPr>
          <w:lang w:val="en-GB"/>
        </w:rPr>
        <w:t>36</w:t>
      </w:r>
      <w:r w:rsidRPr="00FB5D9D">
        <w:rPr>
          <w:lang w:val="en-GB"/>
        </w:rPr>
        <w:fldChar w:fldCharType="end"/>
      </w:r>
      <w:r w:rsidRPr="00FB5D9D">
        <w:rPr>
          <w:lang w:val="en-GB"/>
        </w:rPr>
        <w:t>-</w:t>
      </w:r>
      <w:r w:rsidRPr="00FB5D9D">
        <w:rPr>
          <w:lang w:val="en-GB"/>
        </w:rPr>
        <w:fldChar w:fldCharType="begin"/>
      </w:r>
      <w:r w:rsidRPr="00FB5D9D">
        <w:rPr>
          <w:lang w:val="en-GB"/>
        </w:rPr>
        <w:instrText>REF _Ref82099679 \r \h</w:instrText>
      </w:r>
      <w:r w:rsidRPr="00FB5D9D">
        <w:rPr>
          <w:lang w:val="en-GB"/>
        </w:rPr>
      </w:r>
      <w:r>
        <w:rPr>
          <w:lang w:val="en-GB"/>
        </w:rPr>
        <w:instrText xml:space="preserve"> \* MERGEFORMAT </w:instrText>
      </w:r>
      <w:r w:rsidRPr="00FB5D9D">
        <w:rPr>
          <w:lang w:val="en-GB"/>
        </w:rPr>
        <w:fldChar w:fldCharType="separate"/>
      </w:r>
      <w:r w:rsidRPr="00FB5D9D">
        <w:rPr>
          <w:lang w:val="en-GB"/>
        </w:rPr>
        <w:t>37</w:t>
      </w:r>
      <w:r w:rsidRPr="00FB5D9D">
        <w:rPr>
          <w:lang w:val="en-GB"/>
        </w:rPr>
        <w:fldChar w:fldCharType="end"/>
      </w:r>
      <w:r w:rsidRPr="00FB5D9D">
        <w:rPr>
          <w:lang w:val="en-GB"/>
        </w:rPr>
        <w:t>]), by using the GGA functional BP86 [</w:t>
      </w:r>
      <w:r w:rsidRPr="00FB5D9D">
        <w:rPr>
          <w:lang w:val="en-GB"/>
        </w:rPr>
        <w:fldChar w:fldCharType="begin"/>
      </w:r>
      <w:r w:rsidRPr="00FB5D9D">
        <w:rPr>
          <w:lang w:val="en-GB"/>
        </w:rPr>
        <w:instrText>REF _Ref82113004 \r \h</w:instrText>
      </w:r>
      <w:r w:rsidRPr="00FB5D9D">
        <w:rPr>
          <w:lang w:val="en-GB"/>
        </w:rPr>
      </w:r>
      <w:r>
        <w:rPr>
          <w:lang w:val="en-GB"/>
        </w:rPr>
        <w:instrText xml:space="preserve"> \* MERGEFORMAT </w:instrText>
      </w:r>
      <w:r w:rsidRPr="00FB5D9D">
        <w:rPr>
          <w:lang w:val="en-GB"/>
        </w:rPr>
        <w:fldChar w:fldCharType="separate"/>
      </w:r>
      <w:r w:rsidRPr="00FB5D9D">
        <w:rPr>
          <w:lang w:val="en-GB"/>
        </w:rPr>
        <w:t>38</w:t>
      </w:r>
      <w:r w:rsidRPr="00FB5D9D">
        <w:rPr>
          <w:lang w:val="en-GB"/>
        </w:rPr>
        <w:fldChar w:fldCharType="end"/>
      </w:r>
      <w:r w:rsidRPr="00FB5D9D">
        <w:rPr>
          <w:lang w:val="en-GB"/>
        </w:rPr>
        <w:t>-</w:t>
      </w:r>
      <w:r w:rsidRPr="00FB5D9D">
        <w:rPr>
          <w:lang w:val="en-GB"/>
        </w:rPr>
        <w:fldChar w:fldCharType="begin"/>
      </w:r>
      <w:r w:rsidRPr="00FB5D9D">
        <w:rPr>
          <w:lang w:val="en-GB"/>
        </w:rPr>
        <w:instrText>REF _Ref82113005 \r \h</w:instrText>
      </w:r>
      <w:r w:rsidRPr="00FB5D9D">
        <w:rPr>
          <w:lang w:val="en-GB"/>
        </w:rPr>
      </w:r>
      <w:r>
        <w:rPr>
          <w:lang w:val="en-GB"/>
        </w:rPr>
        <w:instrText xml:space="preserve"> \* MERGEFORMAT </w:instrText>
      </w:r>
      <w:r w:rsidRPr="00FB5D9D">
        <w:rPr>
          <w:lang w:val="en-GB"/>
        </w:rPr>
        <w:fldChar w:fldCharType="separate"/>
      </w:r>
      <w:r w:rsidRPr="00FB5D9D">
        <w:rPr>
          <w:lang w:val="en-GB"/>
        </w:rPr>
        <w:t>39</w:t>
      </w:r>
      <w:r w:rsidRPr="00FB5D9D">
        <w:rPr>
          <w:lang w:val="en-GB"/>
        </w:rPr>
        <w:fldChar w:fldCharType="end"/>
      </w:r>
      <w:r w:rsidRPr="00FB5D9D">
        <w:rPr>
          <w:lang w:val="en-GB"/>
        </w:rPr>
        <w:t>], by employing a triple-ζ with one polarization function (TZP) Slater-type basis set [</w:t>
      </w:r>
      <w:r w:rsidRPr="00FB5D9D">
        <w:rPr>
          <w:lang w:val="en-GB"/>
        </w:rPr>
        <w:fldChar w:fldCharType="begin"/>
      </w:r>
      <w:r w:rsidRPr="00FB5D9D">
        <w:rPr>
          <w:lang w:val="en-GB"/>
        </w:rPr>
        <w:instrText>REF _Ref82113070 \r \h</w:instrText>
      </w:r>
      <w:r w:rsidRPr="00FB5D9D">
        <w:rPr>
          <w:lang w:val="en-GB"/>
        </w:rPr>
      </w:r>
      <w:r>
        <w:rPr>
          <w:lang w:val="en-GB"/>
        </w:rPr>
        <w:instrText xml:space="preserve"> \* MERGEFORMAT </w:instrText>
      </w:r>
      <w:r w:rsidRPr="00FB5D9D">
        <w:rPr>
          <w:lang w:val="en-GB"/>
        </w:rPr>
        <w:fldChar w:fldCharType="separate"/>
      </w:r>
      <w:r w:rsidRPr="00FB5D9D">
        <w:rPr>
          <w:lang w:val="en-GB"/>
        </w:rPr>
        <w:t>40</w:t>
      </w:r>
      <w:r w:rsidRPr="00FB5D9D">
        <w:rPr>
          <w:lang w:val="en-GB"/>
        </w:rPr>
        <w:fldChar w:fldCharType="end"/>
      </w:r>
      <w:r w:rsidRPr="00FB5D9D">
        <w:rPr>
          <w:lang w:val="en-GB"/>
        </w:rPr>
        <w:t>] for all the atoms and by freezing throughout the calculations the C, N and O 1s atomic orbital (AO), the Co and Cu 1s–2p AOs, the Ag 1s–3d AOs and the Au 1s–4d AOs. 3D contour plots (CPs) have been also obtained to get information about the localization and the character of frontier MOs. Finally, bonding energies (</w:t>
      </w:r>
      <w:r w:rsidRPr="00FB5D9D">
        <w:rPr>
          <w:i/>
          <w:lang w:val="en-GB"/>
        </w:rPr>
        <w:t>BE</w:t>
      </w:r>
      <w:r w:rsidRPr="00FB5D9D">
        <w:rPr>
          <w:lang w:val="en-GB"/>
        </w:rPr>
        <w:t>s) have been analysed by means of the Ziegler’s extended transition state [</w:t>
      </w:r>
      <w:r w:rsidRPr="00FB5D9D">
        <w:rPr>
          <w:lang w:val="en-GB"/>
        </w:rPr>
        <w:fldChar w:fldCharType="begin"/>
      </w:r>
      <w:r w:rsidRPr="00FB5D9D">
        <w:rPr>
          <w:lang w:val="en-GB"/>
        </w:rPr>
        <w:instrText>REF _Ref82114003 \r \h</w:instrText>
      </w:r>
      <w:r w:rsidRPr="00FB5D9D">
        <w:rPr>
          <w:lang w:val="en-GB"/>
        </w:rPr>
      </w:r>
      <w:r>
        <w:rPr>
          <w:lang w:val="en-GB"/>
        </w:rPr>
        <w:instrText xml:space="preserve"> \* MERGEFORMAT </w:instrText>
      </w:r>
      <w:r w:rsidRPr="00FB5D9D">
        <w:rPr>
          <w:lang w:val="en-GB"/>
        </w:rPr>
        <w:fldChar w:fldCharType="separate"/>
      </w:r>
      <w:r w:rsidRPr="00FB5D9D">
        <w:rPr>
          <w:lang w:val="en-GB"/>
        </w:rPr>
        <w:t>41</w:t>
      </w:r>
      <w:r w:rsidRPr="00FB5D9D">
        <w:rPr>
          <w:lang w:val="en-GB"/>
        </w:rPr>
        <w:fldChar w:fldCharType="end"/>
      </w:r>
      <w:r w:rsidRPr="00FB5D9D">
        <w:rPr>
          <w:lang w:val="en-GB"/>
        </w:rPr>
        <w:t xml:space="preserve">] method. According to this scheme, </w:t>
      </w:r>
      <w:r w:rsidRPr="00FB5D9D">
        <w:rPr>
          <w:i/>
          <w:lang w:val="en-GB"/>
        </w:rPr>
        <w:t>BE</w:t>
      </w:r>
      <w:r w:rsidRPr="00FB5D9D">
        <w:rPr>
          <w:lang w:val="en-GB"/>
        </w:rPr>
        <w:t>s may be written as</w:t>
      </w:r>
    </w:p>
    <w:p w:rsidR="00FB5D9D" w:rsidRPr="00FB5D9D" w:rsidRDefault="00FB5D9D" w:rsidP="00FB5D9D">
      <w:pPr>
        <w:pStyle w:val="MDPI31text"/>
        <w:rPr>
          <w:lang w:val="en-GB"/>
        </w:rPr>
      </w:pPr>
    </w:p>
    <w:p w:rsidR="00FB5D9D" w:rsidRPr="00FB5D9D" w:rsidRDefault="00FB5D9D" w:rsidP="00FB5D9D">
      <w:pPr>
        <w:pStyle w:val="MDPI31text"/>
        <w:tabs>
          <w:tab w:val="left" w:pos="9072"/>
        </w:tabs>
        <w:ind w:firstLine="86"/>
        <w:rPr>
          <w:lang w:val="en-GB"/>
        </w:rPr>
      </w:pPr>
      <m:oMath>
        <m:r>
          <w:rPr>
            <w:rFonts w:ascii="Cambria Math" w:hAnsi="Cambria Math"/>
          </w:rPr>
          <m:t>BE=-</m:t>
        </m:r>
        <m:d>
          <m:dPr>
            <m:ctrlPr>
              <w:rPr>
                <w:rFonts w:ascii="Cambria Math" w:hAnsi="Cambria Math"/>
              </w:rPr>
            </m:ctrlPr>
          </m:dPr>
          <m:e>
            <m:r>
              <w:rPr>
                <w:rFonts w:ascii="Cambria Math" w:hAnsi="Cambria Math"/>
              </w:rPr>
              <m:t>Δ</m:t>
            </m:r>
            <m:sSub>
              <m:sSubPr>
                <m:ctrlPr>
                  <w:rPr>
                    <w:rFonts w:ascii="Cambria Math" w:hAnsi="Cambria Math"/>
                  </w:rPr>
                </m:ctrlPr>
              </m:sSubPr>
              <m:e>
                <m:r>
                  <w:rPr>
                    <w:rFonts w:ascii="Cambria Math" w:hAnsi="Cambria Math"/>
                  </w:rPr>
                  <m:t>E</m:t>
                </m:r>
              </m:e>
              <m:sub>
                <m:r>
                  <m:rPr>
                    <m:sty m:val="p"/>
                  </m:rPr>
                  <w:rPr>
                    <w:rFonts w:ascii="Cambria Math" w:hAnsi="Cambria Math"/>
                  </w:rPr>
                  <m:t>es</m:t>
                </m:r>
              </m:sub>
            </m:sSub>
            <m:r>
              <w:rPr>
                <w:rFonts w:ascii="Cambria Math" w:hAnsi="Cambria Math"/>
              </w:rPr>
              <m:t>+Δ</m:t>
            </m:r>
            <m:sSub>
              <m:sSubPr>
                <m:ctrlPr>
                  <w:rPr>
                    <w:rFonts w:ascii="Cambria Math" w:hAnsi="Cambria Math"/>
                  </w:rPr>
                </m:ctrlPr>
              </m:sSubPr>
              <m:e>
                <m:r>
                  <w:rPr>
                    <w:rFonts w:ascii="Cambria Math" w:hAnsi="Cambria Math"/>
                  </w:rPr>
                  <m:t>E</m:t>
                </m:r>
              </m:e>
              <m:sub>
                <m:r>
                  <m:rPr>
                    <m:sty m:val="p"/>
                  </m:rPr>
                  <w:rPr>
                    <w:rFonts w:ascii="Cambria Math" w:hAnsi="Cambria Math"/>
                  </w:rPr>
                  <m:t>Pauli</m:t>
                </m:r>
              </m:sub>
            </m:sSub>
            <m:r>
              <w:rPr>
                <w:rFonts w:ascii="Cambria Math" w:hAnsi="Cambria Math"/>
              </w:rPr>
              <m:t>+Δ</m:t>
            </m:r>
            <m:sSub>
              <m:sSubPr>
                <m:ctrlPr>
                  <w:rPr>
                    <w:rFonts w:ascii="Cambria Math" w:hAnsi="Cambria Math"/>
                  </w:rPr>
                </m:ctrlPr>
              </m:sSubPr>
              <m:e>
                <m:r>
                  <w:rPr>
                    <w:rFonts w:ascii="Cambria Math" w:hAnsi="Cambria Math"/>
                  </w:rPr>
                  <m:t>E</m:t>
                </m:r>
              </m:e>
              <m:sub>
                <m:r>
                  <m:rPr>
                    <m:sty m:val="p"/>
                  </m:rPr>
                  <w:rPr>
                    <w:rFonts w:ascii="Cambria Math" w:hAnsi="Cambria Math"/>
                  </w:rPr>
                  <m:t>orb</m:t>
                </m:r>
              </m:sub>
            </m:sSub>
            <m:r>
              <w:rPr>
                <w:rFonts w:ascii="Cambria Math" w:hAnsi="Cambria Math"/>
              </w:rPr>
              <m:t>+Δ</m:t>
            </m:r>
            <m:sSub>
              <m:sSubPr>
                <m:ctrlPr>
                  <w:rPr>
                    <w:rFonts w:ascii="Cambria Math" w:hAnsi="Cambria Math"/>
                  </w:rPr>
                </m:ctrlPr>
              </m:sSubPr>
              <m:e>
                <m:r>
                  <w:rPr>
                    <w:rFonts w:ascii="Cambria Math" w:hAnsi="Cambria Math"/>
                  </w:rPr>
                  <m:t>E</m:t>
                </m:r>
              </m:e>
              <m:sub>
                <m:r>
                  <m:rPr>
                    <m:sty m:val="p"/>
                  </m:rPr>
                  <w:rPr>
                    <w:rFonts w:ascii="Cambria Math" w:hAnsi="Cambria Math"/>
                  </w:rPr>
                  <m:t>prep</m:t>
                </m:r>
              </m:sub>
            </m:sSub>
          </m:e>
        </m:d>
      </m:oMath>
      <w:r w:rsidRPr="00FB5D9D">
        <w:rPr>
          <w:lang w:val="en-GB"/>
        </w:rPr>
        <w:tab/>
      </w:r>
      <w:r w:rsidRPr="00FB5D9D">
        <w:rPr>
          <w:lang w:val="en-GB"/>
        </w:rPr>
        <w:tab/>
        <w:t>(1)</w:t>
      </w:r>
    </w:p>
    <w:p w:rsidR="00FB5D9D" w:rsidRPr="00FB5D9D" w:rsidRDefault="00FB5D9D" w:rsidP="00FB5D9D">
      <w:pPr>
        <w:pStyle w:val="MDPI31text"/>
        <w:tabs>
          <w:tab w:val="left" w:pos="9072"/>
        </w:tabs>
        <w:ind w:firstLine="86"/>
        <w:rPr>
          <w:lang w:val="en-GB"/>
        </w:rPr>
      </w:pPr>
    </w:p>
    <w:p w:rsidR="00FB5D9D" w:rsidRPr="00FB5D9D" w:rsidRDefault="00FB5D9D" w:rsidP="00FB5D9D">
      <w:pPr>
        <w:pStyle w:val="MDPI31text"/>
        <w:ind w:firstLine="0"/>
        <w:rPr>
          <w:lang w:val="en-GB"/>
        </w:rPr>
      </w:pPr>
      <w:r w:rsidRPr="00FB5D9D">
        <w:rPr>
          <w:lang w:val="en-GB"/>
        </w:rPr>
        <w:t xml:space="preserve">where, </w:t>
      </w:r>
      <w:r w:rsidRPr="00FB5D9D">
        <w:rPr>
          <w:rFonts w:ascii="Symbol" w:eastAsia="Symbol" w:hAnsi="Symbol" w:cs="Symbol"/>
          <w:lang w:val="en-GB"/>
        </w:rPr>
        <w:t></w:t>
      </w:r>
      <w:r w:rsidRPr="00FB5D9D">
        <w:rPr>
          <w:i/>
          <w:lang w:val="en-GB"/>
        </w:rPr>
        <w:t>E</w:t>
      </w:r>
      <w:r w:rsidRPr="00FB5D9D">
        <w:rPr>
          <w:vertAlign w:val="subscript"/>
          <w:lang w:val="en-GB"/>
        </w:rPr>
        <w:t>es</w:t>
      </w:r>
      <w:r w:rsidRPr="00FB5D9D">
        <w:rPr>
          <w:lang w:val="en-GB"/>
        </w:rPr>
        <w:t xml:space="preserve">, </w:t>
      </w:r>
      <w:r w:rsidRPr="00FB5D9D">
        <w:rPr>
          <w:rFonts w:ascii="Symbol" w:eastAsia="Symbol" w:hAnsi="Symbol" w:cs="Symbol"/>
          <w:lang w:val="en-GB"/>
        </w:rPr>
        <w:t></w:t>
      </w:r>
      <w:r w:rsidRPr="00FB5D9D">
        <w:rPr>
          <w:i/>
          <w:lang w:val="en-GB"/>
        </w:rPr>
        <w:t>E</w:t>
      </w:r>
      <w:r w:rsidRPr="00FB5D9D">
        <w:rPr>
          <w:vertAlign w:val="subscript"/>
          <w:lang w:val="en-GB"/>
        </w:rPr>
        <w:t>Pauli</w:t>
      </w:r>
      <w:r w:rsidRPr="00FB5D9D">
        <w:rPr>
          <w:lang w:val="en-GB"/>
        </w:rPr>
        <w:t xml:space="preserve"> and </w:t>
      </w:r>
      <w:r w:rsidRPr="00FB5D9D">
        <w:rPr>
          <w:rFonts w:ascii="Symbol" w:eastAsia="Symbol" w:hAnsi="Symbol" w:cs="Symbol"/>
          <w:lang w:val="en-GB"/>
        </w:rPr>
        <w:t></w:t>
      </w:r>
      <w:r w:rsidRPr="00FB5D9D">
        <w:rPr>
          <w:i/>
          <w:lang w:val="en-GB"/>
        </w:rPr>
        <w:t>E</w:t>
      </w:r>
      <w:r w:rsidRPr="00FB5D9D">
        <w:rPr>
          <w:vertAlign w:val="subscript"/>
          <w:lang w:val="en-GB"/>
        </w:rPr>
        <w:t>orb</w:t>
      </w:r>
      <w:r w:rsidRPr="00FB5D9D">
        <w:rPr>
          <w:lang w:val="en-GB"/>
        </w:rPr>
        <w:t xml:space="preserve"> represent contributions due to the pure electrostatic interaction, the Pauli repulsion (hereafter </w:t>
      </w:r>
      <w:r w:rsidRPr="00FB5D9D">
        <w:rPr>
          <w:rFonts w:ascii="Symbol" w:eastAsia="Symbol" w:hAnsi="Symbol" w:cs="Symbol"/>
          <w:lang w:val="en-GB"/>
        </w:rPr>
        <w:t></w:t>
      </w:r>
      <w:r w:rsidRPr="00FB5D9D">
        <w:rPr>
          <w:i/>
          <w:lang w:val="en-GB"/>
        </w:rPr>
        <w:t>E</w:t>
      </w:r>
      <w:r w:rsidRPr="00FB5D9D">
        <w:rPr>
          <w:vertAlign w:val="subscript"/>
          <w:lang w:val="en-GB"/>
        </w:rPr>
        <w:t>es</w:t>
      </w:r>
      <w:r w:rsidRPr="00FB5D9D">
        <w:rPr>
          <w:lang w:val="en-GB"/>
        </w:rPr>
        <w:t xml:space="preserve"> + </w:t>
      </w:r>
      <w:r w:rsidRPr="00FB5D9D">
        <w:rPr>
          <w:rFonts w:ascii="Symbol" w:eastAsia="Symbol" w:hAnsi="Symbol" w:cs="Symbol"/>
          <w:lang w:val="en-GB"/>
        </w:rPr>
        <w:t></w:t>
      </w:r>
      <w:r w:rsidRPr="00FB5D9D">
        <w:rPr>
          <w:i/>
          <w:lang w:val="en-GB"/>
        </w:rPr>
        <w:t>E</w:t>
      </w:r>
      <w:r w:rsidRPr="00FB5D9D">
        <w:rPr>
          <w:vertAlign w:val="subscript"/>
          <w:lang w:val="en-GB"/>
        </w:rPr>
        <w:t>Pauli</w:t>
      </w:r>
      <w:r w:rsidRPr="00FB5D9D">
        <w:rPr>
          <w:lang w:val="en-GB"/>
        </w:rPr>
        <w:t xml:space="preserve"> = </w:t>
      </w:r>
      <w:r w:rsidRPr="00FB5D9D">
        <w:rPr>
          <w:rFonts w:ascii="Symbol" w:eastAsia="Symbol" w:hAnsi="Symbol" w:cs="Symbol"/>
          <w:lang w:val="en-GB"/>
        </w:rPr>
        <w:t></w:t>
      </w:r>
      <w:r w:rsidRPr="00FB5D9D">
        <w:rPr>
          <w:i/>
          <w:lang w:val="en-GB"/>
        </w:rPr>
        <w:t>E</w:t>
      </w:r>
      <w:r w:rsidRPr="00FB5D9D">
        <w:rPr>
          <w:vertAlign w:val="subscript"/>
          <w:lang w:val="en-GB"/>
        </w:rPr>
        <w:t>sr</w:t>
      </w:r>
      <w:r w:rsidRPr="00FB5D9D">
        <w:rPr>
          <w:lang w:val="en-GB"/>
        </w:rPr>
        <w:t xml:space="preserve">, the steric repulsion), and the orbital interaction, respectively. </w:t>
      </w:r>
      <w:r w:rsidRPr="00FB5D9D">
        <w:rPr>
          <w:rFonts w:ascii="Times New Roman" w:hAnsi="Times New Roman"/>
          <w:lang/>
        </w:rPr>
        <w:t>T</w:t>
      </w:r>
      <w:r w:rsidRPr="00FB5D9D">
        <w:rPr>
          <w:lang w:val="en-GB"/>
        </w:rPr>
        <w:t xml:space="preserve">he last term </w:t>
      </w:r>
      <w:r w:rsidRPr="00FB5D9D">
        <w:rPr>
          <w:rFonts w:ascii="Symbol" w:eastAsia="Symbol" w:hAnsi="Symbol" w:cs="Symbol"/>
          <w:lang w:val="en-GB"/>
        </w:rPr>
        <w:t></w:t>
      </w:r>
      <w:r w:rsidRPr="00FB5D9D">
        <w:rPr>
          <w:i/>
          <w:lang w:val="en-GB"/>
        </w:rPr>
        <w:t>E</w:t>
      </w:r>
      <w:r w:rsidRPr="00FB5D9D">
        <w:rPr>
          <w:vertAlign w:val="subscript"/>
          <w:lang w:val="en-GB"/>
        </w:rPr>
        <w:t>prep</w:t>
      </w:r>
      <w:r w:rsidRPr="00FB5D9D">
        <w:rPr>
          <w:lang w:val="en-GB"/>
        </w:rPr>
        <w:t xml:space="preserve"> provides information about the energy required to relax the geometrical structure of the fragments CoTPP and L to the geometry they assume in the final cluster. In this regard, it is noteworthy that atomic fragments from which a molecule/cluster is built must be spin-restricted [</w:t>
      </w:r>
      <w:r w:rsidRPr="00FB5D9D">
        <w:rPr>
          <w:lang w:val="en-GB"/>
        </w:rPr>
        <w:fldChar w:fldCharType="begin"/>
      </w:r>
      <w:r w:rsidRPr="00FB5D9D">
        <w:rPr>
          <w:lang w:val="en-GB"/>
        </w:rPr>
        <w:instrText>REF _Ref82099584 \r \h</w:instrText>
      </w:r>
      <w:r w:rsidRPr="00FB5D9D">
        <w:rPr>
          <w:lang w:val="en-GB"/>
        </w:rPr>
      </w:r>
      <w:r>
        <w:rPr>
          <w:lang w:val="en-GB"/>
        </w:rPr>
        <w:instrText xml:space="preserve"> \* MERGEFORMAT </w:instrText>
      </w:r>
      <w:r w:rsidRPr="00FB5D9D">
        <w:rPr>
          <w:lang w:val="en-GB"/>
        </w:rPr>
        <w:fldChar w:fldCharType="separate"/>
      </w:r>
      <w:r w:rsidRPr="00FB5D9D">
        <w:rPr>
          <w:lang w:val="en-GB"/>
        </w:rPr>
        <w:t>35</w:t>
      </w:r>
      <w:r w:rsidRPr="00FB5D9D">
        <w:rPr>
          <w:lang w:val="en-GB"/>
        </w:rPr>
        <w:fldChar w:fldCharType="end"/>
      </w:r>
      <w:r w:rsidRPr="00FB5D9D">
        <w:rPr>
          <w:lang w:val="en-GB"/>
        </w:rPr>
        <w:t xml:space="preserve">]. Both MS–CoTPP and MS–CoTPP–L </w:t>
      </w:r>
      <w:r w:rsidRPr="00FB5D9D">
        <w:rPr>
          <w:i/>
          <w:lang w:val="en-GB"/>
        </w:rPr>
        <w:t>BE</w:t>
      </w:r>
      <w:r w:rsidRPr="00FB5D9D">
        <w:rPr>
          <w:lang w:val="en-GB"/>
        </w:rPr>
        <w:t xml:space="preserve">s have been then corrected by </w:t>
      </w:r>
      <m:oMath>
        <m:r>
          <w:rPr>
            <w:rFonts w:ascii="Cambria Math" w:hAnsi="Cambria Math"/>
          </w:rPr>
          <m:t>Δ</m:t>
        </m:r>
        <m:sSubSup>
          <m:sSubSupPr>
            <m:ctrlPr>
              <w:rPr>
                <w:rFonts w:ascii="Cambria Math" w:hAnsi="Cambria Math"/>
              </w:rPr>
            </m:ctrlPr>
          </m:sSubSupPr>
          <m:e>
            <m:r>
              <w:rPr>
                <w:rFonts w:ascii="Cambria Math" w:hAnsi="Cambria Math"/>
              </w:rPr>
              <m:t>E</m:t>
            </m:r>
          </m:e>
          <m:sub>
            <m:r>
              <w:rPr>
                <w:rFonts w:ascii="Cambria Math" w:hAnsi="Cambria Math"/>
              </w:rPr>
              <m:t>sp</m:t>
            </m:r>
          </m:sub>
          <m:sup>
            <m:r>
              <w:rPr>
                <w:rFonts w:ascii="Cambria Math" w:hAnsi="Cambria Math"/>
              </w:rPr>
              <m:t>MS</m:t>
            </m:r>
          </m:sup>
        </m:sSubSup>
      </m:oMath>
      <w:r w:rsidRPr="00FB5D9D">
        <w:rPr>
          <w:lang w:val="en-GB"/>
        </w:rPr>
        <w:t>, which corresponds to the -</w:t>
      </w:r>
      <w:r w:rsidRPr="00FB5D9D">
        <w:rPr>
          <w:rFonts w:ascii="Symbol" w:eastAsia="Symbol" w:hAnsi="Symbol" w:cs="Symbol"/>
          <w:lang w:val="en-GB"/>
        </w:rPr>
        <w:t></w:t>
      </w:r>
      <w:r w:rsidRPr="00FB5D9D">
        <w:rPr>
          <w:i/>
          <w:lang w:val="en-GB"/>
        </w:rPr>
        <w:t>BE</w:t>
      </w:r>
      <w:r w:rsidRPr="00FB5D9D">
        <w:rPr>
          <w:lang w:val="en-GB"/>
        </w:rPr>
        <w:t xml:space="preserve"> between a spin-unrestricted and a spin-restricted atomic fragment. Amendments to </w:t>
      </w:r>
      <w:r w:rsidRPr="00FB5D9D">
        <w:rPr>
          <w:i/>
          <w:lang w:val="en-GB"/>
        </w:rPr>
        <w:t>BE</w:t>
      </w:r>
      <w:r w:rsidRPr="00FB5D9D">
        <w:rPr>
          <w:lang w:val="en-GB"/>
        </w:rPr>
        <w:t xml:space="preserve">s due </w:t>
      </w:r>
      <w:r w:rsidRPr="00FB5D9D">
        <w:rPr>
          <w:rFonts w:ascii="Times New Roman" w:hAnsi="Times New Roman"/>
          <w:lang/>
        </w:rPr>
        <w:t xml:space="preserve">to </w:t>
      </w:r>
      <w:r w:rsidRPr="00FB5D9D">
        <w:rPr>
          <w:lang w:val="en-GB"/>
        </w:rPr>
        <w:t>the basis set superposition error have been systematically ignored as their contribution is known to be min</w:t>
      </w:r>
      <w:r w:rsidRPr="00FB5D9D">
        <w:rPr>
          <w:rFonts w:ascii="Times New Roman" w:hAnsi="Times New Roman"/>
          <w:lang/>
        </w:rPr>
        <w:t>or</w:t>
      </w:r>
      <w:r w:rsidRPr="00FB5D9D">
        <w:rPr>
          <w:lang w:val="en-GB"/>
        </w:rPr>
        <w:t xml:space="preserve"> [</w:t>
      </w:r>
      <w:r w:rsidRPr="00FB5D9D">
        <w:rPr>
          <w:lang w:val="en-GB"/>
        </w:rPr>
        <w:fldChar w:fldCharType="begin"/>
      </w:r>
      <w:r w:rsidRPr="00FB5D9D">
        <w:rPr>
          <w:lang w:val="en-GB"/>
        </w:rPr>
        <w:instrText>REF _Ref82114694 \r \h</w:instrText>
      </w:r>
      <w:r w:rsidRPr="00FB5D9D">
        <w:rPr>
          <w:lang w:val="en-GB"/>
        </w:rPr>
      </w:r>
      <w:r>
        <w:rPr>
          <w:lang w:val="en-GB"/>
        </w:rPr>
        <w:instrText xml:space="preserve"> \* MERGEFORMAT </w:instrText>
      </w:r>
      <w:r w:rsidRPr="00FB5D9D">
        <w:rPr>
          <w:lang w:val="en-GB"/>
        </w:rPr>
        <w:fldChar w:fldCharType="separate"/>
      </w:r>
      <w:r w:rsidRPr="00FB5D9D">
        <w:rPr>
          <w:lang w:val="en-GB"/>
        </w:rPr>
        <w:t>42</w:t>
      </w:r>
      <w:r w:rsidRPr="00FB5D9D">
        <w:rPr>
          <w:lang w:val="en-GB"/>
        </w:rPr>
        <w:fldChar w:fldCharType="end"/>
      </w:r>
      <w:r w:rsidRPr="00FB5D9D">
        <w:rPr>
          <w:lang w:val="en-GB"/>
        </w:rPr>
        <w:t xml:space="preserve">]. </w:t>
      </w:r>
    </w:p>
    <w:p w:rsidR="00FB5D9D" w:rsidRPr="00FB5D9D" w:rsidRDefault="00FB5D9D" w:rsidP="00FB5D9D">
      <w:pPr>
        <w:pStyle w:val="MDPI21heading1"/>
        <w:spacing w:after="240"/>
        <w:rPr>
          <w:lang w:val="en-GB" w:eastAsia="zh-CN"/>
        </w:rPr>
      </w:pPr>
      <w:r w:rsidRPr="00FB5D9D">
        <w:rPr>
          <w:lang w:val="en-GB" w:eastAsia="zh-CN"/>
        </w:rPr>
        <w:t>3. Results and Discussion</w:t>
      </w:r>
    </w:p>
    <w:p w:rsidR="00FB5D9D" w:rsidRPr="00FB5D9D" w:rsidRDefault="00FB5D9D" w:rsidP="00FB5D9D">
      <w:pPr>
        <w:pStyle w:val="MDPI31text"/>
        <w:ind w:firstLine="0"/>
        <w:rPr>
          <w:lang w:val="en-GB"/>
        </w:rPr>
      </w:pPr>
      <w:r w:rsidRPr="00FB5D9D">
        <w:rPr>
          <w:lang w:val="en-GB"/>
        </w:rPr>
        <w:t>The competition between the S–Co and Co–L interactions</w:t>
      </w:r>
      <w:r w:rsidRPr="00FB5D9D">
        <w:rPr>
          <w:rFonts w:ascii="Times New Roman" w:hAnsi="Times New Roman"/>
          <w:lang/>
        </w:rPr>
        <w:t>,</w:t>
      </w:r>
      <w:r w:rsidRPr="00FB5D9D">
        <w:rPr>
          <w:lang w:val="en-GB"/>
        </w:rPr>
        <w:t xml:space="preserve"> as well as its influence on the CoTPP magnetic properties</w:t>
      </w:r>
      <w:r w:rsidRPr="00FB5D9D">
        <w:rPr>
          <w:rFonts w:ascii="Times New Roman" w:hAnsi="Times New Roman"/>
          <w:lang/>
        </w:rPr>
        <w:t>,</w:t>
      </w:r>
      <w:r w:rsidRPr="00FB5D9D">
        <w:rPr>
          <w:lang w:val="en-GB"/>
        </w:rPr>
        <w:t xml:space="preserve"> ha</w:t>
      </w:r>
      <w:r w:rsidRPr="00FB5D9D">
        <w:rPr>
          <w:rFonts w:ascii="Times New Roman" w:hAnsi="Times New Roman"/>
          <w:lang/>
        </w:rPr>
        <w:t>s</w:t>
      </w:r>
      <w:r w:rsidRPr="00FB5D9D">
        <w:rPr>
          <w:lang w:val="en-GB"/>
        </w:rPr>
        <w:t xml:space="preserve"> been investigated by adopting the following three models: i) MS–CoTPP (MS = Cu, Ag, Au), </w:t>
      </w:r>
      <w:r w:rsidRPr="00FB5D9D">
        <w:rPr>
          <w:rFonts w:ascii="Times New Roman" w:hAnsi="Times New Roman"/>
          <w:lang/>
        </w:rPr>
        <w:t>representing</w:t>
      </w:r>
      <w:r w:rsidRPr="00FB5D9D">
        <w:rPr>
          <w:lang w:val="en-GB"/>
        </w:rPr>
        <w:t xml:space="preserve"> the surface-supported CoTPP; ii) CoTPP–L (L = CO, NH</w:t>
      </w:r>
      <w:r w:rsidRPr="00FB5D9D">
        <w:rPr>
          <w:vertAlign w:val="subscript"/>
          <w:lang w:val="en-GB"/>
        </w:rPr>
        <w:t>3</w:t>
      </w:r>
      <w:r w:rsidRPr="00FB5D9D">
        <w:rPr>
          <w:lang w:val="en-GB"/>
        </w:rPr>
        <w:t>, NO, NO</w:t>
      </w:r>
      <w:r w:rsidRPr="00FB5D9D">
        <w:rPr>
          <w:vertAlign w:val="subscript"/>
          <w:lang w:val="en-GB"/>
        </w:rPr>
        <w:t>2</w:t>
      </w:r>
      <w:r w:rsidRPr="00FB5D9D">
        <w:rPr>
          <w:lang w:val="en-GB"/>
        </w:rPr>
        <w:t>, O</w:t>
      </w:r>
      <w:r w:rsidRPr="00FB5D9D">
        <w:rPr>
          <w:vertAlign w:val="subscript"/>
          <w:lang w:val="en-GB"/>
        </w:rPr>
        <w:t>2</w:t>
      </w:r>
      <w:r w:rsidRPr="00FB5D9D">
        <w:rPr>
          <w:lang w:val="en-GB"/>
        </w:rPr>
        <w:t xml:space="preserve">), corresponding to the diverse adducts herein considered and iii) MS–CoTPP–L, </w:t>
      </w:r>
      <w:r w:rsidRPr="00FB5D9D">
        <w:rPr>
          <w:rFonts w:ascii="Times New Roman" w:hAnsi="Times New Roman"/>
          <w:lang/>
        </w:rPr>
        <w:t>representing</w:t>
      </w:r>
      <w:r w:rsidRPr="00FB5D9D">
        <w:rPr>
          <w:lang w:val="en-GB"/>
        </w:rPr>
        <w:t xml:space="preserve"> the interphase generated by coordinating L to the surface-supported CoTPP. Optimized Cartesian coordinates of the free L molecules, of the free CoTPP complex, and of the MS–CoTPP, CoTPP–L, and MS–CoTPP–L clusters are reported in Tables S1 – S29 of the Supplementary Materials (SM), while the </w:t>
      </w:r>
      <w:r w:rsidRPr="00FB5D9D">
        <w:rPr>
          <w:i/>
          <w:lang w:val="en-GB"/>
        </w:rPr>
        <w:t>BE</w:t>
      </w:r>
      <w:r w:rsidRPr="00FB5D9D">
        <w:rPr>
          <w:lang w:val="en-GB"/>
        </w:rPr>
        <w:t xml:space="preserve">s for each molecule/adduct/cluster herein considered are collected in Tables S30 – S37 of the SM. </w:t>
      </w:r>
    </w:p>
    <w:p w:rsidR="00FB5D9D" w:rsidRPr="00FB5D9D" w:rsidRDefault="00FB5D9D" w:rsidP="00FB5D9D">
      <w:pPr>
        <w:pStyle w:val="MDPI31text"/>
        <w:rPr>
          <w:lang w:val="en-GB"/>
        </w:rPr>
      </w:pPr>
      <w:r w:rsidRPr="00FB5D9D">
        <w:rPr>
          <w:b/>
          <w:lang w:val="en-GB"/>
        </w:rPr>
        <w:t>3.1 CoTPP on Cu, Ag and Au substrates</w:t>
      </w:r>
      <w:r w:rsidRPr="00FB5D9D">
        <w:rPr>
          <w:lang w:val="en-GB"/>
        </w:rPr>
        <w:t>. The S–CoTPP interaction has been herein modelled by considering the direct interaction of Co with a single Cu, Ag or Au atom, labelled MS. The adoption of this oversimplified model is inspired by the a-top chemisorption of CoTPP on the (111) surface of coinage metals</w:t>
      </w:r>
      <w:r w:rsidRPr="00FB5D9D">
        <w:rPr>
          <w:rFonts w:ascii="Times New Roman" w:hAnsi="Times New Roman"/>
          <w:lang/>
        </w:rPr>
        <w:t>,</w:t>
      </w:r>
      <w:r w:rsidRPr="00FB5D9D">
        <w:rPr>
          <w:lang w:val="en-GB"/>
        </w:rPr>
        <w:t xml:space="preserve"> a model already adopted by Hieringer et al. [</w:t>
      </w:r>
      <w:r w:rsidRPr="00FB5D9D">
        <w:rPr>
          <w:lang w:val="en-GB"/>
        </w:rPr>
        <w:fldChar w:fldCharType="begin"/>
      </w:r>
      <w:r w:rsidRPr="00FB5D9D">
        <w:rPr>
          <w:lang w:val="en-GB"/>
        </w:rPr>
        <w:instrText>REF _Ref82089106 \r \h</w:instrText>
      </w:r>
      <w:r w:rsidRPr="00FB5D9D">
        <w:rPr>
          <w:lang w:val="en-GB"/>
        </w:rPr>
      </w:r>
      <w:r>
        <w:rPr>
          <w:lang w:val="en-GB"/>
        </w:rPr>
        <w:instrText xml:space="preserve"> \* MERGEFORMAT </w:instrText>
      </w:r>
      <w:r w:rsidRPr="00FB5D9D">
        <w:rPr>
          <w:lang w:val="en-GB"/>
        </w:rPr>
        <w:fldChar w:fldCharType="separate"/>
      </w:r>
      <w:r w:rsidRPr="00FB5D9D">
        <w:rPr>
          <w:lang w:val="en-GB"/>
        </w:rPr>
        <w:t>25</w:t>
      </w:r>
      <w:r w:rsidRPr="00FB5D9D">
        <w:rPr>
          <w:lang w:val="en-GB"/>
        </w:rPr>
        <w:fldChar w:fldCharType="end"/>
      </w:r>
      <w:r w:rsidRPr="00FB5D9D">
        <w:rPr>
          <w:lang w:val="en-GB"/>
        </w:rPr>
        <w:t>] to mimic the CoTPP chemisorption on Ag(111). The neutral Cu, Ag and Au atoms have a 3d</w:t>
      </w:r>
      <w:r w:rsidRPr="00FB5D9D">
        <w:rPr>
          <w:vertAlign w:val="superscript"/>
          <w:lang w:val="en-GB"/>
        </w:rPr>
        <w:t>10</w:t>
      </w:r>
      <w:r w:rsidRPr="00FB5D9D">
        <w:rPr>
          <w:lang w:val="en-GB"/>
        </w:rPr>
        <w:t>4s</w:t>
      </w:r>
      <w:r w:rsidRPr="00FB5D9D">
        <w:rPr>
          <w:vertAlign w:val="superscript"/>
          <w:lang w:val="en-GB"/>
        </w:rPr>
        <w:t>1</w:t>
      </w:r>
      <w:r w:rsidRPr="00FB5D9D">
        <w:rPr>
          <w:lang w:val="en-GB"/>
        </w:rPr>
        <w:t>, 4d</w:t>
      </w:r>
      <w:r w:rsidRPr="00FB5D9D">
        <w:rPr>
          <w:vertAlign w:val="superscript"/>
          <w:lang w:val="en-GB"/>
        </w:rPr>
        <w:t>10</w:t>
      </w:r>
      <w:r w:rsidRPr="00FB5D9D">
        <w:rPr>
          <w:lang w:val="en-GB"/>
        </w:rPr>
        <w:t>5s</w:t>
      </w:r>
      <w:r w:rsidRPr="00FB5D9D">
        <w:rPr>
          <w:vertAlign w:val="superscript"/>
          <w:lang w:val="en-GB"/>
        </w:rPr>
        <w:t>1</w:t>
      </w:r>
      <w:r w:rsidRPr="00FB5D9D">
        <w:rPr>
          <w:lang w:val="en-GB"/>
        </w:rPr>
        <w:t xml:space="preserve"> and 5d</w:t>
      </w:r>
      <w:r w:rsidRPr="00FB5D9D">
        <w:rPr>
          <w:vertAlign w:val="superscript"/>
          <w:lang w:val="en-GB"/>
        </w:rPr>
        <w:t>10</w:t>
      </w:r>
      <w:r w:rsidRPr="00FB5D9D">
        <w:rPr>
          <w:lang w:val="en-GB"/>
        </w:rPr>
        <w:t>6s</w:t>
      </w:r>
      <w:r w:rsidRPr="00FB5D9D">
        <w:rPr>
          <w:vertAlign w:val="superscript"/>
          <w:lang w:val="en-GB"/>
        </w:rPr>
        <w:t>1</w:t>
      </w:r>
      <w:r w:rsidRPr="00FB5D9D">
        <w:rPr>
          <w:lang w:val="en-GB"/>
        </w:rPr>
        <w:t xml:space="preserve"> electronic configuration, respectively, while the low-spin (LS) Co</w:t>
      </w:r>
      <w:r w:rsidRPr="00FB5D9D">
        <w:rPr>
          <w:vertAlign w:val="superscript"/>
          <w:lang w:val="en-GB"/>
        </w:rPr>
        <w:t>II</w:t>
      </w:r>
      <w:r w:rsidRPr="00FB5D9D">
        <w:rPr>
          <w:lang w:val="en-GB"/>
        </w:rPr>
        <w:t xml:space="preserve"> species occupying the centre of the TPP</w:t>
      </w:r>
      <w:r w:rsidRPr="00FB5D9D">
        <w:rPr>
          <w:vertAlign w:val="superscript"/>
          <w:lang w:val="en-GB"/>
        </w:rPr>
        <w:t>2-</w:t>
      </w:r>
      <w:r w:rsidRPr="00FB5D9D">
        <w:rPr>
          <w:lang w:val="en-GB"/>
        </w:rPr>
        <w:t xml:space="preserve"> coordinative pocket carries a single unpaired electron in the Co 3</w:t>
      </w:r>
      <m:oMath>
        <m:sSub>
          <m:sSubPr>
            <m:ctrlPr>
              <w:rPr>
                <w:rFonts w:ascii="Cambria Math" w:hAnsi="Cambria Math"/>
                <w:iCs/>
              </w:rPr>
            </m:ctrlPr>
          </m:sSubPr>
          <m:e>
            <m:r>
              <m:rPr>
                <m:sty m:val="p"/>
              </m:rPr>
              <w:rPr>
                <w:rFonts w:ascii="Cambria Math" w:hAnsi="Cambria Math"/>
              </w:rPr>
              <m:t>d</m:t>
            </m:r>
          </m:e>
          <m:sub>
            <m:sSup>
              <m:sSupPr>
                <m:ctrlPr>
                  <w:rPr>
                    <w:rFonts w:ascii="Cambria Math" w:hAnsi="Cambria Math"/>
                    <w:iCs/>
                  </w:rPr>
                </m:ctrlPr>
              </m:sSupPr>
              <m:e>
                <m:r>
                  <m:rPr>
                    <m:sty m:val="p"/>
                  </m:rPr>
                  <w:rPr>
                    <w:rFonts w:ascii="Cambria Math" w:hAnsi="Cambria Math"/>
                  </w:rPr>
                  <m:t>z</m:t>
                </m:r>
              </m:e>
              <m:sup>
                <m:r>
                  <m:rPr>
                    <m:sty m:val="p"/>
                  </m:rPr>
                  <w:rPr>
                    <w:rFonts w:ascii="Cambria Math" w:hAnsi="Cambria Math"/>
                  </w:rPr>
                  <m:t>2</m:t>
                </m:r>
              </m:sup>
            </m:sSup>
          </m:sub>
        </m:sSub>
      </m:oMath>
      <w:r w:rsidRPr="00FB5D9D">
        <w:rPr>
          <w:lang w:val="en-GB"/>
        </w:rPr>
        <w:t>-based molecular orbital (MO) [</w:t>
      </w:r>
      <w:r w:rsidRPr="00FB5D9D">
        <w:rPr>
          <w:lang w:val="en-GB"/>
        </w:rPr>
        <w:fldChar w:fldCharType="begin"/>
      </w:r>
      <w:r w:rsidRPr="00FB5D9D">
        <w:rPr>
          <w:lang w:val="en-GB"/>
        </w:rPr>
        <w:instrText xml:space="preserve"> REF _Ref87420351 \r \h </w:instrText>
      </w:r>
      <w:r w:rsidRPr="00FB5D9D">
        <w:rPr>
          <w:lang w:val="en-GB"/>
        </w:rPr>
      </w:r>
      <w:r>
        <w:rPr>
          <w:lang w:val="en-GB"/>
        </w:rPr>
        <w:instrText xml:space="preserve"> \* MERGEFORMAT </w:instrText>
      </w:r>
      <w:r w:rsidRPr="00FB5D9D">
        <w:rPr>
          <w:lang w:val="en-GB"/>
        </w:rPr>
        <w:fldChar w:fldCharType="separate"/>
      </w:r>
      <w:r w:rsidRPr="00FB5D9D">
        <w:rPr>
          <w:lang w:val="en-GB"/>
        </w:rPr>
        <w:t>43</w:t>
      </w:r>
      <w:r w:rsidRPr="00FB5D9D">
        <w:rPr>
          <w:lang w:val="en-GB"/>
        </w:rPr>
        <w:fldChar w:fldCharType="end"/>
      </w:r>
      <w:r w:rsidRPr="00FB5D9D">
        <w:rPr>
          <w:lang w:val="en-GB"/>
        </w:rPr>
        <w:t>]. Thus, the C</w:t>
      </w:r>
      <w:r w:rsidRPr="00FB5D9D">
        <w:rPr>
          <w:vertAlign w:val="subscript"/>
          <w:lang w:val="en-GB"/>
        </w:rPr>
        <w:t>4v</w:t>
      </w:r>
      <w:r w:rsidRPr="00FB5D9D">
        <w:rPr>
          <w:lang w:val="en-GB"/>
        </w:rPr>
        <w:t xml:space="preserve"> [</w:t>
      </w:r>
      <w:r w:rsidRPr="00FB5D9D">
        <w:rPr>
          <w:lang w:val="en-GB"/>
        </w:rPr>
        <w:fldChar w:fldCharType="begin"/>
      </w:r>
      <w:r w:rsidRPr="00FB5D9D">
        <w:rPr>
          <w:lang w:val="en-GB"/>
        </w:rPr>
        <w:instrText>REF _Ref82151652 \r \h</w:instrText>
      </w:r>
      <w:r w:rsidRPr="00FB5D9D">
        <w:rPr>
          <w:lang w:val="en-GB"/>
        </w:rPr>
      </w:r>
      <w:r>
        <w:rPr>
          <w:lang w:val="en-GB"/>
        </w:rPr>
        <w:instrText xml:space="preserve"> \* MERGEFORMAT </w:instrText>
      </w:r>
      <w:r w:rsidRPr="00FB5D9D">
        <w:rPr>
          <w:lang w:val="en-GB"/>
        </w:rPr>
        <w:fldChar w:fldCharType="separate"/>
      </w:r>
      <w:r w:rsidRPr="00FB5D9D">
        <w:rPr>
          <w:lang w:val="en-GB"/>
        </w:rPr>
        <w:t>44</w:t>
      </w:r>
      <w:r w:rsidRPr="00FB5D9D">
        <w:rPr>
          <w:lang w:val="en-GB"/>
        </w:rPr>
        <w:fldChar w:fldCharType="end"/>
      </w:r>
      <w:r w:rsidRPr="00FB5D9D">
        <w:rPr>
          <w:lang w:val="en-GB"/>
        </w:rPr>
        <w:t>] MS-CoTPP cluster may have either 0 or 2 unpaired electrons. In the absence of any constraint on the MS–Co internuclear distance, the antiferromagnetic coupling between the two unpaired electrons is estimated</w:t>
      </w:r>
      <w:r w:rsidRPr="00FB5D9D">
        <w:rPr>
          <w:rFonts w:ascii="Times New Roman" w:hAnsi="Times New Roman"/>
          <w:lang/>
        </w:rPr>
        <w:t xml:space="preserve"> to be</w:t>
      </w:r>
      <w:r w:rsidRPr="00FB5D9D">
        <w:rPr>
          <w:lang w:val="en-GB"/>
        </w:rPr>
        <w:t xml:space="preserve"> significantly and systematically more stable than the ferromagnetic one by 0.71, 0.87 and 0.56 eV for MS = Cu, Ag and Au, </w:t>
      </w:r>
      <w:r w:rsidRPr="00FB5D9D">
        <w:rPr>
          <w:lang w:val="en-GB"/>
        </w:rPr>
        <w:lastRenderedPageBreak/>
        <w:t>respectively. Moreover, when relativistic effects are taken into account [</w:t>
      </w:r>
      <w:r w:rsidRPr="00FB5D9D">
        <w:rPr>
          <w:lang w:val="en-GB"/>
        </w:rPr>
        <w:fldChar w:fldCharType="begin"/>
      </w:r>
      <w:r w:rsidRPr="00FB5D9D">
        <w:rPr>
          <w:lang w:val="en-GB"/>
        </w:rPr>
        <w:instrText>REF _Ref82152189 \r \h</w:instrText>
      </w:r>
      <w:r w:rsidRPr="00FB5D9D">
        <w:rPr>
          <w:lang w:val="en-GB"/>
        </w:rPr>
      </w:r>
      <w:r>
        <w:rPr>
          <w:lang w:val="en-GB"/>
        </w:rPr>
        <w:instrText xml:space="preserve"> \* MERGEFORMAT </w:instrText>
      </w:r>
      <w:r w:rsidRPr="00FB5D9D">
        <w:rPr>
          <w:lang w:val="en-GB"/>
        </w:rPr>
        <w:fldChar w:fldCharType="separate"/>
      </w:r>
      <w:r w:rsidRPr="00FB5D9D">
        <w:rPr>
          <w:lang w:val="en-GB"/>
        </w:rPr>
        <w:t>45</w:t>
      </w:r>
      <w:r w:rsidRPr="00FB5D9D">
        <w:rPr>
          <w:lang w:val="en-GB"/>
        </w:rPr>
        <w:fldChar w:fldCharType="end"/>
      </w:r>
      <w:r w:rsidRPr="00FB5D9D">
        <w:rPr>
          <w:lang w:val="en-GB"/>
        </w:rPr>
        <w:t>]</w:t>
      </w:r>
      <w:r w:rsidRPr="00FB5D9D">
        <w:rPr>
          <w:rFonts w:ascii="Times New Roman" w:hAnsi="Times New Roman"/>
          <w:lang/>
        </w:rPr>
        <w:t xml:space="preserve">, </w:t>
      </w:r>
      <w:r w:rsidRPr="00FB5D9D">
        <w:rPr>
          <w:lang w:val="en-GB"/>
        </w:rPr>
        <w:t xml:space="preserve">the MS–Co internuclear distances and the MS–Co </w:t>
      </w:r>
      <w:r w:rsidRPr="00FB5D9D">
        <w:rPr>
          <w:i/>
          <w:lang w:val="en-GB"/>
        </w:rPr>
        <w:t>BE</w:t>
      </w:r>
      <w:r w:rsidRPr="00FB5D9D">
        <w:rPr>
          <w:lang w:val="en-GB"/>
        </w:rPr>
        <w:t xml:space="preserve">s corresponding to the spin-paired configuration (see Table S31 of the SM) have the well-known trend within </w:t>
      </w:r>
      <w:r w:rsidRPr="00FB5D9D">
        <w:rPr>
          <w:rFonts w:ascii="Times New Roman" w:hAnsi="Times New Roman"/>
          <w:lang/>
        </w:rPr>
        <w:t>the</w:t>
      </w:r>
      <w:r w:rsidRPr="00FB5D9D">
        <w:rPr>
          <w:lang w:val="en-GB"/>
        </w:rPr>
        <w:t xml:space="preserve"> triad, thus indicating that, among the MS–CoTPP interactions, the Ag–CoTPP one is the weakest and most labile. Incidentally, MS–Co </w:t>
      </w:r>
      <w:r w:rsidRPr="00FB5D9D">
        <w:rPr>
          <w:i/>
          <w:lang w:val="en-GB"/>
        </w:rPr>
        <w:t>BEs</w:t>
      </w:r>
      <w:r w:rsidRPr="00FB5D9D">
        <w:rPr>
          <w:lang w:val="en-GB"/>
        </w:rPr>
        <w:t xml:space="preserve"> amount to 1.17, 0.91 and 1.11 eV for MS = Cu, Ag and Au, respectively. </w:t>
      </w:r>
    </w:p>
    <w:p w:rsidR="00FB5D9D" w:rsidRPr="00FB5D9D" w:rsidRDefault="00FB5D9D" w:rsidP="00FB5D9D">
      <w:pPr>
        <w:pStyle w:val="MDPI31text"/>
        <w:rPr>
          <w:lang w:val="en-GB"/>
        </w:rPr>
      </w:pPr>
      <w:r w:rsidRPr="00FB5D9D">
        <w:rPr>
          <w:lang w:val="en-GB"/>
        </w:rPr>
        <w:t>Although</w:t>
      </w:r>
      <w:r w:rsidRPr="00FB5D9D">
        <w:rPr>
          <w:rFonts w:ascii="Times New Roman" w:hAnsi="Times New Roman"/>
          <w:lang/>
        </w:rPr>
        <w:t xml:space="preserve"> it is</w:t>
      </w:r>
      <w:r w:rsidRPr="00FB5D9D">
        <w:rPr>
          <w:lang w:val="en-GB"/>
        </w:rPr>
        <w:t xml:space="preserve"> of some interest to grasp the main feature of the MS–CoTPP interaction, </w:t>
      </w:r>
      <w:r w:rsidRPr="00FB5D9D">
        <w:rPr>
          <w:i/>
          <w:iCs/>
          <w:lang w:val="en-GB"/>
        </w:rPr>
        <w:t>BE</w:t>
      </w:r>
      <w:r w:rsidRPr="00FB5D9D">
        <w:rPr>
          <w:lang w:val="en-GB"/>
        </w:rPr>
        <w:t xml:space="preserve">s and internuclear distances are unable to rationalize the CoTPP “switch on” </w:t>
      </w:r>
      <w:r w:rsidRPr="00FB5D9D">
        <w:rPr>
          <w:rFonts w:ascii="Symbol" w:eastAsia="Symbol" w:hAnsi="Symbol" w:cs="Symbol"/>
          <w:lang w:val="en-GB"/>
        </w:rPr>
        <w:t></w:t>
      </w:r>
      <w:r w:rsidRPr="00FB5D9D">
        <w:rPr>
          <w:lang w:val="en-GB"/>
        </w:rPr>
        <w:t xml:space="preserve"> “switch off” magneti</w:t>
      </w:r>
      <w:r w:rsidRPr="00FB5D9D">
        <w:rPr>
          <w:rFonts w:ascii="Times New Roman" w:hAnsi="Times New Roman"/>
          <w:lang/>
        </w:rPr>
        <w:t>sm</w:t>
      </w:r>
      <w:r w:rsidRPr="00FB5D9D">
        <w:rPr>
          <w:lang w:val="en-GB"/>
        </w:rPr>
        <w:t xml:space="preserve"> upon chemisorption on Cu [</w:t>
      </w:r>
      <w:r w:rsidRPr="00FB5D9D">
        <w:rPr>
          <w:lang w:val="en-GB"/>
        </w:rPr>
        <w:fldChar w:fldCharType="begin"/>
      </w:r>
      <w:r w:rsidRPr="00FB5D9D">
        <w:rPr>
          <w:lang w:val="en-GB"/>
        </w:rPr>
        <w:instrText>REF _Ref82089609 \r \h</w:instrText>
      </w:r>
      <w:r w:rsidRPr="00FB5D9D">
        <w:rPr>
          <w:lang w:val="en-GB"/>
        </w:rPr>
      </w:r>
      <w:r>
        <w:rPr>
          <w:lang w:val="en-GB"/>
        </w:rPr>
        <w:instrText xml:space="preserve"> \* MERGEFORMAT </w:instrText>
      </w:r>
      <w:r w:rsidRPr="00FB5D9D">
        <w:rPr>
          <w:lang w:val="en-GB"/>
        </w:rPr>
        <w:fldChar w:fldCharType="separate"/>
      </w:r>
      <w:r w:rsidRPr="00FB5D9D">
        <w:rPr>
          <w:lang w:val="en-GB"/>
        </w:rPr>
        <w:t>26</w:t>
      </w:r>
      <w:r w:rsidRPr="00FB5D9D">
        <w:rPr>
          <w:lang w:val="en-GB"/>
        </w:rPr>
        <w:fldChar w:fldCharType="end"/>
      </w:r>
      <w:r w:rsidRPr="00FB5D9D">
        <w:rPr>
          <w:lang w:val="en-GB"/>
        </w:rPr>
        <w:t>,</w:t>
      </w:r>
      <w:r w:rsidRPr="00FB5D9D">
        <w:rPr>
          <w:lang w:val="en-GB"/>
        </w:rPr>
        <w:fldChar w:fldCharType="begin"/>
      </w:r>
      <w:r w:rsidRPr="00FB5D9D">
        <w:rPr>
          <w:lang w:val="en-GB"/>
        </w:rPr>
        <w:instrText>REF _Ref82095211 \r \h</w:instrText>
      </w:r>
      <w:r w:rsidRPr="00FB5D9D">
        <w:rPr>
          <w:lang w:val="en-GB"/>
        </w:rPr>
      </w:r>
      <w:r>
        <w:rPr>
          <w:lang w:val="en-GB"/>
        </w:rPr>
        <w:instrText xml:space="preserve"> \* MERGEFORMAT </w:instrText>
      </w:r>
      <w:r w:rsidRPr="00FB5D9D">
        <w:rPr>
          <w:lang w:val="en-GB"/>
        </w:rPr>
        <w:fldChar w:fldCharType="separate"/>
      </w:r>
      <w:r w:rsidRPr="00FB5D9D">
        <w:rPr>
          <w:lang w:val="en-GB"/>
        </w:rPr>
        <w:t>28</w:t>
      </w:r>
      <w:r w:rsidRPr="00FB5D9D">
        <w:rPr>
          <w:lang w:val="en-GB"/>
        </w:rPr>
        <w:fldChar w:fldCharType="end"/>
      </w:r>
      <w:r w:rsidRPr="00FB5D9D">
        <w:rPr>
          <w:lang w:val="en-GB"/>
        </w:rPr>
        <w:t>-</w:t>
      </w:r>
      <w:r w:rsidRPr="00FB5D9D">
        <w:rPr>
          <w:lang w:val="en-GB"/>
        </w:rPr>
        <w:fldChar w:fldCharType="begin"/>
      </w:r>
      <w:r w:rsidRPr="00FB5D9D">
        <w:rPr>
          <w:lang w:val="en-GB"/>
        </w:rPr>
        <w:instrText>REF _Ref82095213 \r \h</w:instrText>
      </w:r>
      <w:r w:rsidRPr="00FB5D9D">
        <w:rPr>
          <w:lang w:val="en-GB"/>
        </w:rPr>
      </w:r>
      <w:r>
        <w:rPr>
          <w:lang w:val="en-GB"/>
        </w:rPr>
        <w:instrText xml:space="preserve"> \* MERGEFORMAT </w:instrText>
      </w:r>
      <w:r w:rsidRPr="00FB5D9D">
        <w:rPr>
          <w:lang w:val="en-GB"/>
        </w:rPr>
        <w:fldChar w:fldCharType="separate"/>
      </w:r>
      <w:r w:rsidRPr="00FB5D9D">
        <w:rPr>
          <w:lang w:val="en-GB"/>
        </w:rPr>
        <w:t>29</w:t>
      </w:r>
      <w:r w:rsidRPr="00FB5D9D">
        <w:rPr>
          <w:lang w:val="en-GB"/>
        </w:rPr>
        <w:fldChar w:fldCharType="end"/>
      </w:r>
      <w:r w:rsidRPr="00FB5D9D">
        <w:rPr>
          <w:lang w:val="en-GB"/>
        </w:rPr>
        <w:t>,</w:t>
      </w:r>
      <w:r w:rsidRPr="00FB5D9D">
        <w:rPr>
          <w:lang w:val="en-GB"/>
        </w:rPr>
        <w:fldChar w:fldCharType="begin"/>
      </w:r>
      <w:r w:rsidRPr="00FB5D9D">
        <w:rPr>
          <w:lang w:val="en-GB"/>
        </w:rPr>
        <w:instrText>REF _Ref82097156 \r \h</w:instrText>
      </w:r>
      <w:r w:rsidRPr="00FB5D9D">
        <w:rPr>
          <w:lang w:val="en-GB"/>
        </w:rPr>
      </w:r>
      <w:r>
        <w:rPr>
          <w:lang w:val="en-GB"/>
        </w:rPr>
        <w:instrText xml:space="preserve"> \* MERGEFORMAT </w:instrText>
      </w:r>
      <w:r w:rsidRPr="00FB5D9D">
        <w:rPr>
          <w:lang w:val="en-GB"/>
        </w:rPr>
        <w:fldChar w:fldCharType="separate"/>
      </w:r>
      <w:r w:rsidRPr="00FB5D9D">
        <w:rPr>
          <w:lang w:val="en-GB"/>
        </w:rPr>
        <w:t>33</w:t>
      </w:r>
      <w:r w:rsidRPr="00FB5D9D">
        <w:rPr>
          <w:lang w:val="en-GB"/>
        </w:rPr>
        <w:fldChar w:fldCharType="end"/>
      </w:r>
      <w:r w:rsidRPr="00FB5D9D">
        <w:rPr>
          <w:lang w:val="en-GB"/>
        </w:rPr>
        <w:t>] and Ag [</w:t>
      </w:r>
      <w:r w:rsidRPr="00FB5D9D">
        <w:rPr>
          <w:lang w:val="en-GB"/>
        </w:rPr>
        <w:fldChar w:fldCharType="begin"/>
      </w:r>
      <w:r w:rsidRPr="00FB5D9D">
        <w:rPr>
          <w:lang w:val="en-GB"/>
        </w:rPr>
        <w:instrText>REF _Ref82095282 \r \h</w:instrText>
      </w:r>
      <w:r w:rsidRPr="00FB5D9D">
        <w:rPr>
          <w:lang w:val="en-GB"/>
        </w:rPr>
      </w:r>
      <w:r>
        <w:rPr>
          <w:lang w:val="en-GB"/>
        </w:rPr>
        <w:instrText xml:space="preserve"> \* MERGEFORMAT </w:instrText>
      </w:r>
      <w:r w:rsidRPr="00FB5D9D">
        <w:rPr>
          <w:lang w:val="en-GB"/>
        </w:rPr>
        <w:fldChar w:fldCharType="separate"/>
      </w:r>
      <w:r w:rsidRPr="00FB5D9D">
        <w:rPr>
          <w:lang w:val="en-GB"/>
        </w:rPr>
        <w:t>20</w:t>
      </w:r>
      <w:r w:rsidRPr="00FB5D9D">
        <w:rPr>
          <w:lang w:val="en-GB"/>
        </w:rPr>
        <w:fldChar w:fldCharType="end"/>
      </w:r>
      <w:r w:rsidRPr="00FB5D9D">
        <w:rPr>
          <w:lang w:val="en-GB"/>
        </w:rPr>
        <w:t>,</w:t>
      </w:r>
      <w:r w:rsidRPr="00FB5D9D">
        <w:rPr>
          <w:lang w:val="en-GB"/>
        </w:rPr>
        <w:fldChar w:fldCharType="begin"/>
      </w:r>
      <w:r w:rsidRPr="00FB5D9D">
        <w:rPr>
          <w:lang w:val="en-GB"/>
        </w:rPr>
        <w:instrText>REF _Ref82089106 \r \h</w:instrText>
      </w:r>
      <w:r w:rsidRPr="00FB5D9D">
        <w:rPr>
          <w:lang w:val="en-GB"/>
        </w:rPr>
      </w:r>
      <w:r>
        <w:rPr>
          <w:lang w:val="en-GB"/>
        </w:rPr>
        <w:instrText xml:space="preserve"> \* MERGEFORMAT </w:instrText>
      </w:r>
      <w:r w:rsidRPr="00FB5D9D">
        <w:rPr>
          <w:lang w:val="en-GB"/>
        </w:rPr>
        <w:fldChar w:fldCharType="separate"/>
      </w:r>
      <w:r w:rsidRPr="00FB5D9D">
        <w:rPr>
          <w:lang w:val="en-GB"/>
        </w:rPr>
        <w:t>25</w:t>
      </w:r>
      <w:r w:rsidRPr="00FB5D9D">
        <w:rPr>
          <w:lang w:val="en-GB"/>
        </w:rPr>
        <w:fldChar w:fldCharType="end"/>
      </w:r>
      <w:r w:rsidRPr="00FB5D9D">
        <w:rPr>
          <w:lang w:val="en-GB"/>
        </w:rPr>
        <w:t>,</w:t>
      </w:r>
      <w:r w:rsidRPr="00FB5D9D">
        <w:rPr>
          <w:lang w:val="en-GB"/>
        </w:rPr>
        <w:fldChar w:fldCharType="begin"/>
      </w:r>
      <w:r w:rsidRPr="00FB5D9D">
        <w:rPr>
          <w:lang w:val="en-GB"/>
        </w:rPr>
        <w:instrText>REF _Ref82089609 \r \h</w:instrText>
      </w:r>
      <w:r w:rsidRPr="00FB5D9D">
        <w:rPr>
          <w:lang w:val="en-GB"/>
        </w:rPr>
      </w:r>
      <w:r>
        <w:rPr>
          <w:lang w:val="en-GB"/>
        </w:rPr>
        <w:instrText xml:space="preserve"> \* MERGEFORMAT </w:instrText>
      </w:r>
      <w:r w:rsidRPr="00FB5D9D">
        <w:rPr>
          <w:lang w:val="en-GB"/>
        </w:rPr>
        <w:fldChar w:fldCharType="separate"/>
      </w:r>
      <w:r w:rsidRPr="00FB5D9D">
        <w:rPr>
          <w:lang w:val="en-GB"/>
        </w:rPr>
        <w:t>26</w:t>
      </w:r>
      <w:r w:rsidRPr="00FB5D9D">
        <w:rPr>
          <w:lang w:val="en-GB"/>
        </w:rPr>
        <w:fldChar w:fldCharType="end"/>
      </w:r>
      <w:r w:rsidRPr="00FB5D9D">
        <w:rPr>
          <w:lang w:val="en-GB"/>
        </w:rPr>
        <w:t>,</w:t>
      </w:r>
      <w:r w:rsidRPr="00FB5D9D">
        <w:rPr>
          <w:lang w:val="en-GB"/>
        </w:rPr>
        <w:fldChar w:fldCharType="begin"/>
      </w:r>
      <w:r w:rsidRPr="00FB5D9D">
        <w:rPr>
          <w:lang w:val="en-GB"/>
        </w:rPr>
        <w:instrText>REF _Ref82095884 \r \h</w:instrText>
      </w:r>
      <w:r w:rsidRPr="00FB5D9D">
        <w:rPr>
          <w:lang w:val="en-GB"/>
        </w:rPr>
      </w:r>
      <w:r>
        <w:rPr>
          <w:lang w:val="en-GB"/>
        </w:rPr>
        <w:instrText xml:space="preserve"> \* MERGEFORMAT </w:instrText>
      </w:r>
      <w:r w:rsidRPr="00FB5D9D">
        <w:rPr>
          <w:lang w:val="en-GB"/>
        </w:rPr>
        <w:fldChar w:fldCharType="separate"/>
      </w:r>
      <w:r w:rsidRPr="00FB5D9D">
        <w:rPr>
          <w:lang w:val="en-GB"/>
        </w:rPr>
        <w:t>30</w:t>
      </w:r>
      <w:r w:rsidRPr="00FB5D9D">
        <w:rPr>
          <w:lang w:val="en-GB"/>
        </w:rPr>
        <w:fldChar w:fldCharType="end"/>
      </w:r>
      <w:r w:rsidRPr="00FB5D9D">
        <w:rPr>
          <w:lang w:val="en-GB"/>
        </w:rPr>
        <w:t>-</w:t>
      </w:r>
      <w:r w:rsidRPr="00FB5D9D">
        <w:rPr>
          <w:lang w:val="en-GB"/>
        </w:rPr>
        <w:fldChar w:fldCharType="begin"/>
      </w:r>
      <w:r w:rsidRPr="00FB5D9D">
        <w:rPr>
          <w:lang w:val="en-GB"/>
        </w:rPr>
        <w:instrText>REF _Ref82095908 \r \h</w:instrText>
      </w:r>
      <w:r w:rsidRPr="00FB5D9D">
        <w:rPr>
          <w:lang w:val="en-GB"/>
        </w:rPr>
      </w:r>
      <w:r>
        <w:rPr>
          <w:lang w:val="en-GB"/>
        </w:rPr>
        <w:instrText xml:space="preserve"> \* MERGEFORMAT </w:instrText>
      </w:r>
      <w:r w:rsidRPr="00FB5D9D">
        <w:rPr>
          <w:lang w:val="en-GB"/>
        </w:rPr>
        <w:fldChar w:fldCharType="separate"/>
      </w:r>
      <w:r w:rsidRPr="00FB5D9D">
        <w:rPr>
          <w:lang w:val="en-GB"/>
        </w:rPr>
        <w:t>31</w:t>
      </w:r>
      <w:r w:rsidRPr="00FB5D9D">
        <w:rPr>
          <w:lang w:val="en-GB"/>
        </w:rPr>
        <w:fldChar w:fldCharType="end"/>
      </w:r>
      <w:r w:rsidRPr="00FB5D9D">
        <w:rPr>
          <w:lang w:val="en-GB"/>
        </w:rPr>
        <w:t>,</w:t>
      </w:r>
      <w:r w:rsidRPr="00FB5D9D">
        <w:rPr>
          <w:lang w:val="en-GB"/>
        </w:rPr>
        <w:fldChar w:fldCharType="begin"/>
      </w:r>
      <w:r w:rsidRPr="00FB5D9D">
        <w:rPr>
          <w:lang w:val="en-GB"/>
        </w:rPr>
        <w:instrText>REF _Ref82097156 \r \h</w:instrText>
      </w:r>
      <w:r w:rsidRPr="00FB5D9D">
        <w:rPr>
          <w:lang w:val="en-GB"/>
        </w:rPr>
      </w:r>
      <w:r>
        <w:rPr>
          <w:lang w:val="en-GB"/>
        </w:rPr>
        <w:instrText xml:space="preserve"> \* MERGEFORMAT </w:instrText>
      </w:r>
      <w:r w:rsidRPr="00FB5D9D">
        <w:rPr>
          <w:lang w:val="en-GB"/>
        </w:rPr>
        <w:fldChar w:fldCharType="separate"/>
      </w:r>
      <w:r w:rsidRPr="00FB5D9D">
        <w:rPr>
          <w:lang w:val="en-GB"/>
        </w:rPr>
        <w:t>33</w:t>
      </w:r>
      <w:r w:rsidRPr="00FB5D9D">
        <w:rPr>
          <w:lang w:val="en-GB"/>
        </w:rPr>
        <w:fldChar w:fldCharType="end"/>
      </w:r>
      <w:r w:rsidRPr="00FB5D9D">
        <w:rPr>
          <w:lang w:val="en-GB"/>
        </w:rPr>
        <w:t>], as well as the absence of any CoTPP demagnetization upon chemisorption on Au [</w:t>
      </w:r>
      <w:r w:rsidRPr="00FB5D9D">
        <w:rPr>
          <w:lang w:val="en-GB"/>
        </w:rPr>
        <w:fldChar w:fldCharType="begin"/>
      </w:r>
      <w:r w:rsidRPr="00FB5D9D">
        <w:rPr>
          <w:lang w:val="en-GB"/>
        </w:rPr>
        <w:instrText>REF _Ref82088372 \r \h</w:instrText>
      </w:r>
      <w:r w:rsidRPr="00FB5D9D">
        <w:rPr>
          <w:lang w:val="en-GB"/>
        </w:rPr>
      </w:r>
      <w:r>
        <w:rPr>
          <w:lang w:val="en-GB"/>
        </w:rPr>
        <w:instrText xml:space="preserve"> \* MERGEFORMAT </w:instrText>
      </w:r>
      <w:r w:rsidRPr="00FB5D9D">
        <w:rPr>
          <w:lang w:val="en-GB"/>
        </w:rPr>
        <w:fldChar w:fldCharType="separate"/>
      </w:r>
      <w:r w:rsidRPr="00FB5D9D">
        <w:rPr>
          <w:lang w:val="en-GB"/>
        </w:rPr>
        <w:t>18</w:t>
      </w:r>
      <w:r w:rsidRPr="00FB5D9D">
        <w:rPr>
          <w:lang w:val="en-GB"/>
        </w:rPr>
        <w:fldChar w:fldCharType="end"/>
      </w:r>
      <w:r w:rsidRPr="00FB5D9D">
        <w:rPr>
          <w:lang w:val="en-GB"/>
        </w:rPr>
        <w:t>,</w:t>
      </w:r>
      <w:r w:rsidRPr="00FB5D9D">
        <w:rPr>
          <w:lang w:val="en-GB"/>
        </w:rPr>
        <w:fldChar w:fldCharType="begin"/>
      </w:r>
      <w:r w:rsidRPr="00FB5D9D">
        <w:rPr>
          <w:lang w:val="en-GB"/>
        </w:rPr>
        <w:instrText>REF _Ref82095282 \r \h</w:instrText>
      </w:r>
      <w:r w:rsidRPr="00FB5D9D">
        <w:rPr>
          <w:lang w:val="en-GB"/>
        </w:rPr>
      </w:r>
      <w:r>
        <w:rPr>
          <w:lang w:val="en-GB"/>
        </w:rPr>
        <w:instrText xml:space="preserve"> \* MERGEFORMAT </w:instrText>
      </w:r>
      <w:r w:rsidRPr="00FB5D9D">
        <w:rPr>
          <w:lang w:val="en-GB"/>
        </w:rPr>
        <w:fldChar w:fldCharType="separate"/>
      </w:r>
      <w:r w:rsidRPr="00FB5D9D">
        <w:rPr>
          <w:lang w:val="en-GB"/>
        </w:rPr>
        <w:t>20</w:t>
      </w:r>
      <w:r w:rsidRPr="00FB5D9D">
        <w:rPr>
          <w:lang w:val="en-GB"/>
        </w:rPr>
        <w:fldChar w:fldCharType="end"/>
      </w:r>
      <w:r w:rsidRPr="00FB5D9D">
        <w:rPr>
          <w:lang w:val="en-GB"/>
        </w:rPr>
        <w:t>-21,</w:t>
      </w:r>
      <w:r w:rsidRPr="00FB5D9D">
        <w:rPr>
          <w:lang w:val="en-GB"/>
        </w:rPr>
        <w:fldChar w:fldCharType="begin"/>
      </w:r>
      <w:r w:rsidRPr="00FB5D9D">
        <w:rPr>
          <w:lang w:val="en-GB"/>
        </w:rPr>
        <w:instrText>REF _Ref82096715 \r \h</w:instrText>
      </w:r>
      <w:r w:rsidRPr="00FB5D9D">
        <w:rPr>
          <w:lang w:val="en-GB"/>
        </w:rPr>
      </w:r>
      <w:r>
        <w:rPr>
          <w:lang w:val="en-GB"/>
        </w:rPr>
        <w:instrText xml:space="preserve"> \* MERGEFORMAT </w:instrText>
      </w:r>
      <w:r w:rsidRPr="00FB5D9D">
        <w:rPr>
          <w:lang w:val="en-GB"/>
        </w:rPr>
        <w:fldChar w:fldCharType="separate"/>
      </w:r>
      <w:r w:rsidRPr="00FB5D9D">
        <w:rPr>
          <w:lang w:val="en-GB"/>
        </w:rPr>
        <w:t>32</w:t>
      </w:r>
      <w:r w:rsidRPr="00FB5D9D">
        <w:rPr>
          <w:lang w:val="en-GB"/>
        </w:rPr>
        <w:fldChar w:fldCharType="end"/>
      </w:r>
      <w:r w:rsidRPr="00FB5D9D">
        <w:rPr>
          <w:lang w:val="en-GB"/>
        </w:rPr>
        <w:t xml:space="preserve">, </w:t>
      </w:r>
      <w:r w:rsidRPr="00FB5D9D">
        <w:rPr>
          <w:lang w:val="en-GB"/>
        </w:rPr>
        <w:fldChar w:fldCharType="begin"/>
      </w:r>
      <w:r w:rsidRPr="00FB5D9D">
        <w:rPr>
          <w:lang w:val="en-GB"/>
        </w:rPr>
        <w:instrText>REF _Ref82097156 \r \h</w:instrText>
      </w:r>
      <w:r w:rsidRPr="00FB5D9D">
        <w:rPr>
          <w:lang w:val="en-GB"/>
        </w:rPr>
      </w:r>
      <w:r>
        <w:rPr>
          <w:lang w:val="en-GB"/>
        </w:rPr>
        <w:instrText xml:space="preserve"> \* MERGEFORMAT </w:instrText>
      </w:r>
      <w:r w:rsidRPr="00FB5D9D">
        <w:rPr>
          <w:lang w:val="en-GB"/>
        </w:rPr>
        <w:fldChar w:fldCharType="separate"/>
      </w:r>
      <w:r w:rsidRPr="00FB5D9D">
        <w:rPr>
          <w:lang w:val="en-GB"/>
        </w:rPr>
        <w:t>33</w:t>
      </w:r>
      <w:r w:rsidRPr="00FB5D9D">
        <w:rPr>
          <w:lang w:val="en-GB"/>
        </w:rPr>
        <w:fldChar w:fldCharType="end"/>
      </w:r>
      <w:r w:rsidRPr="00FB5D9D">
        <w:rPr>
          <w:lang w:val="en-GB"/>
        </w:rPr>
        <w:t xml:space="preserve">]. The thorough analysis of the MS-CoTPP frontier molecular orbitals (MOs) turns out to be the Hobson’s choice to get a rationale </w:t>
      </w:r>
      <w:r w:rsidRPr="00FB5D9D">
        <w:rPr>
          <w:rFonts w:ascii="Times New Roman" w:hAnsi="Times New Roman"/>
          <w:lang/>
        </w:rPr>
        <w:t>for</w:t>
      </w:r>
      <w:r w:rsidRPr="00FB5D9D">
        <w:rPr>
          <w:lang w:val="en-GB"/>
        </w:rPr>
        <w:t xml:space="preserve"> the experimental trend. The MS–CoTPP interaction may be roughly described by a two</w:t>
      </w:r>
      <w:r w:rsidRPr="00FB5D9D">
        <w:rPr>
          <w:rFonts w:ascii="Times New Roman" w:hAnsi="Times New Roman"/>
          <w:lang/>
        </w:rPr>
        <w:t>-</w:t>
      </w:r>
      <w:r w:rsidRPr="00FB5D9D">
        <w:rPr>
          <w:lang w:val="en-GB"/>
        </w:rPr>
        <w:t>electrons/two</w:t>
      </w:r>
      <w:r w:rsidRPr="00FB5D9D">
        <w:rPr>
          <w:rFonts w:ascii="Times New Roman" w:hAnsi="Times New Roman"/>
          <w:lang/>
        </w:rPr>
        <w:t>-</w:t>
      </w:r>
      <w:r w:rsidRPr="00FB5D9D">
        <w:rPr>
          <w:lang w:val="en-GB"/>
        </w:rPr>
        <w:t>orbitals model involving the Co 3</w:t>
      </w:r>
      <m:oMath>
        <m:sSub>
          <m:sSubPr>
            <m:ctrlPr>
              <w:rPr>
                <w:rFonts w:ascii="Cambria Math" w:hAnsi="Cambria Math"/>
              </w:rPr>
            </m:ctrlPr>
          </m:sSubPr>
          <m:e>
            <m:r>
              <m:rPr>
                <m:sty m:val="p"/>
              </m:rPr>
              <w:rPr>
                <w:rFonts w:ascii="Cambria Math" w:hAnsi="Cambria Math"/>
              </w:rPr>
              <m:t>d</m:t>
            </m:r>
          </m:e>
          <m:sub>
            <m:sSup>
              <m:sSupPr>
                <m:ctrlPr>
                  <w:rPr>
                    <w:rFonts w:ascii="Cambria Math" w:hAnsi="Cambria Math"/>
                  </w:rPr>
                </m:ctrlPr>
              </m:sSupPr>
              <m:e>
                <m:r>
                  <m:rPr>
                    <m:sty m:val="p"/>
                  </m:rPr>
                  <w:rPr>
                    <w:rFonts w:ascii="Cambria Math" w:hAnsi="Cambria Math"/>
                  </w:rPr>
                  <m:t>z</m:t>
                </m:r>
              </m:e>
              <m:sup>
                <m:r>
                  <m:rPr>
                    <m:sty m:val="p"/>
                  </m:rPr>
                  <w:rPr>
                    <w:rFonts w:ascii="Cambria Math" w:hAnsi="Cambria Math"/>
                  </w:rPr>
                  <m:t>2</m:t>
                </m:r>
              </m:sup>
            </m:sSup>
          </m:sub>
        </m:sSub>
      </m:oMath>
      <w:r w:rsidRPr="00FB5D9D">
        <w:rPr>
          <w:lang w:val="en-GB"/>
        </w:rPr>
        <w:t>-based singly-occupied MO (SOMO) and the MS (</w:t>
      </w:r>
      <w:r w:rsidRPr="00FB5D9D">
        <w:rPr>
          <w:i/>
          <w:lang w:val="en-GB"/>
        </w:rPr>
        <w:t>n</w:t>
      </w:r>
      <w:r w:rsidRPr="00FB5D9D">
        <w:rPr>
          <w:lang w:val="en-GB"/>
        </w:rPr>
        <w:t xml:space="preserve"> + 1)s AO (</w:t>
      </w:r>
      <w:r w:rsidRPr="00FB5D9D">
        <w:rPr>
          <w:i/>
          <w:lang w:val="en-GB"/>
        </w:rPr>
        <w:t>n</w:t>
      </w:r>
      <w:r w:rsidRPr="00FB5D9D">
        <w:rPr>
          <w:lang w:val="en-GB"/>
        </w:rPr>
        <w:t xml:space="preserve"> = 4, 5, and 6 for Cu, Ag, and Au, respectively). The analysis of their in-phase and out-of-phase combinations (hereafter, </w:t>
      </w:r>
      <w:r w:rsidRPr="00FB5D9D">
        <w:rPr>
          <w:vertAlign w:val="superscript"/>
          <w:lang w:val="en-GB"/>
        </w:rPr>
        <w:t>MS–Co</w:t>
      </w:r>
      <w:r w:rsidRPr="00FB5D9D">
        <w:rPr>
          <w:rFonts w:ascii="Symbol" w:eastAsia="Symbol" w:hAnsi="Symbol" w:cs="Symbol"/>
          <w:lang w:val="en-GB"/>
        </w:rPr>
        <w:t></w:t>
      </w:r>
      <w:r w:rsidRPr="00FB5D9D">
        <w:rPr>
          <w:lang w:val="en-GB"/>
        </w:rPr>
        <w:t xml:space="preserve"> and </w:t>
      </w:r>
      <w:r w:rsidRPr="00FB5D9D">
        <w:rPr>
          <w:vertAlign w:val="superscript"/>
          <w:lang w:val="en-GB"/>
        </w:rPr>
        <w:t>MS–Co</w:t>
      </w:r>
      <w:r w:rsidRPr="00FB5D9D">
        <w:rPr>
          <w:rFonts w:ascii="Symbol" w:eastAsia="Symbol" w:hAnsi="Symbol" w:cs="Symbol"/>
          <w:lang w:val="en-GB"/>
        </w:rPr>
        <w:t></w:t>
      </w:r>
      <w:r w:rsidRPr="00FB5D9D">
        <w:rPr>
          <w:lang w:val="en-GB"/>
        </w:rPr>
        <w:t>* in Figure 1) suggests that upon chemisorption of CoTPP on Cu and Ag</w:t>
      </w:r>
      <w:r w:rsidRPr="00FB5D9D">
        <w:rPr>
          <w:rFonts w:ascii="Times New Roman" w:hAnsi="Times New Roman"/>
          <w:lang/>
        </w:rPr>
        <w:t>,</w:t>
      </w:r>
      <w:r w:rsidRPr="00FB5D9D">
        <w:rPr>
          <w:lang w:val="en-GB"/>
        </w:rPr>
        <w:t xml:space="preserve"> a Co</w:t>
      </w:r>
      <w:r w:rsidRPr="00FB5D9D">
        <w:rPr>
          <w:vertAlign w:val="superscript"/>
          <w:lang w:val="en-GB"/>
        </w:rPr>
        <w:t>II</w:t>
      </w:r>
      <w:r w:rsidRPr="00FB5D9D">
        <w:rPr>
          <w:lang w:val="en-GB"/>
        </w:rPr>
        <w:t xml:space="preserve"> + MS</w:t>
      </w:r>
      <w:r w:rsidRPr="00FB5D9D">
        <w:rPr>
          <w:vertAlign w:val="superscript"/>
          <w:lang w:val="en-GB"/>
        </w:rPr>
        <w:t>0</w:t>
      </w:r>
      <w:r w:rsidRPr="00FB5D9D">
        <w:rPr>
          <w:lang w:val="en-GB"/>
        </w:rPr>
        <w:t xml:space="preserve"> </w:t>
      </w:r>
      <w:r w:rsidRPr="00FB5D9D">
        <w:rPr>
          <w:rFonts w:ascii="Symbol" w:eastAsia="Symbol" w:hAnsi="Symbol" w:cs="Symbol"/>
          <w:lang w:val="en-GB"/>
        </w:rPr>
        <w:t></w:t>
      </w:r>
      <w:r w:rsidRPr="00FB5D9D">
        <w:rPr>
          <w:lang w:val="en-GB"/>
        </w:rPr>
        <w:t xml:space="preserve"> Co</w:t>
      </w:r>
      <w:r w:rsidRPr="00FB5D9D">
        <w:rPr>
          <w:vertAlign w:val="superscript"/>
          <w:lang w:val="en-GB"/>
        </w:rPr>
        <w:t>I</w:t>
      </w:r>
      <w:r w:rsidRPr="00FB5D9D">
        <w:rPr>
          <w:lang w:val="en-GB"/>
        </w:rPr>
        <w:t xml:space="preserve"> + MS</w:t>
      </w:r>
      <w:r w:rsidRPr="00FB5D9D">
        <w:rPr>
          <w:vertAlign w:val="superscript"/>
          <w:lang w:val="en-GB"/>
        </w:rPr>
        <w:t>I</w:t>
      </w:r>
      <w:r w:rsidRPr="00FB5D9D">
        <w:rPr>
          <w:lang w:val="en-GB"/>
        </w:rPr>
        <w:t xml:space="preserve"> pseudo redox reaction takes place (see Figure 1D). Consistently with the presence of a pseudo redox reaction involving a net Cu</w:t>
      </w:r>
      <w:r w:rsidRPr="00FB5D9D">
        <w:rPr>
          <w:vertAlign w:val="superscript"/>
          <w:lang w:val="en-GB"/>
        </w:rPr>
        <w:t>0</w:t>
      </w:r>
      <w:r w:rsidRPr="00FB5D9D">
        <w:rPr>
          <w:lang w:val="en-GB"/>
        </w:rPr>
        <w:t xml:space="preserve"> </w:t>
      </w:r>
      <w:r w:rsidRPr="00FB5D9D">
        <w:rPr>
          <w:rFonts w:ascii="Symbol" w:eastAsia="Symbol" w:hAnsi="Symbol" w:cs="Symbol"/>
          <w:lang w:val="en-GB"/>
        </w:rPr>
        <w:t></w:t>
      </w:r>
      <w:r w:rsidRPr="00FB5D9D">
        <w:rPr>
          <w:lang w:val="en-GB"/>
        </w:rPr>
        <w:t xml:space="preserve"> Co</w:t>
      </w:r>
      <w:r w:rsidRPr="00FB5D9D">
        <w:rPr>
          <w:vertAlign w:val="superscript"/>
          <w:lang w:val="en-GB"/>
        </w:rPr>
        <w:t>II</w:t>
      </w:r>
      <w:r w:rsidRPr="00FB5D9D">
        <w:rPr>
          <w:lang w:val="en-GB"/>
        </w:rPr>
        <w:t>/Ag</w:t>
      </w:r>
      <w:r w:rsidRPr="00FB5D9D">
        <w:rPr>
          <w:vertAlign w:val="superscript"/>
          <w:lang w:val="en-GB"/>
        </w:rPr>
        <w:t>0</w:t>
      </w:r>
      <w:r w:rsidRPr="00FB5D9D">
        <w:rPr>
          <w:lang w:val="en-GB"/>
        </w:rPr>
        <w:t xml:space="preserve"> </w:t>
      </w:r>
      <w:r w:rsidRPr="00FB5D9D">
        <w:rPr>
          <w:rFonts w:ascii="Symbol" w:eastAsia="Symbol" w:hAnsi="Symbol" w:cs="Symbol"/>
          <w:lang w:val="en-GB"/>
        </w:rPr>
        <w:t></w:t>
      </w:r>
      <w:r w:rsidRPr="00FB5D9D">
        <w:rPr>
          <w:lang w:val="en-GB"/>
        </w:rPr>
        <w:t xml:space="preserve"> Co</w:t>
      </w:r>
      <w:r w:rsidRPr="00FB5D9D">
        <w:rPr>
          <w:vertAlign w:val="superscript"/>
          <w:lang w:val="en-GB"/>
        </w:rPr>
        <w:t>II</w:t>
      </w:r>
      <w:r w:rsidRPr="00FB5D9D">
        <w:rPr>
          <w:lang w:val="en-GB"/>
        </w:rPr>
        <w:t xml:space="preserve"> charge transfer, the completely occupied </w:t>
      </w:r>
      <w:r w:rsidRPr="00FB5D9D">
        <w:rPr>
          <w:vertAlign w:val="superscript"/>
          <w:lang w:val="en-GB"/>
        </w:rPr>
        <w:t>Cu–Co</w:t>
      </w:r>
      <w:r w:rsidRPr="00FB5D9D">
        <w:rPr>
          <w:rFonts w:ascii="Symbol" w:eastAsia="Symbol" w:hAnsi="Symbol" w:cs="Symbol"/>
          <w:lang w:val="en-GB"/>
        </w:rPr>
        <w:t></w:t>
      </w:r>
      <w:r w:rsidRPr="00FB5D9D">
        <w:rPr>
          <w:lang w:val="en-GB"/>
        </w:rPr>
        <w:t xml:space="preserve"> and </w:t>
      </w:r>
      <w:r w:rsidRPr="00FB5D9D">
        <w:rPr>
          <w:vertAlign w:val="superscript"/>
          <w:lang w:val="en-GB"/>
        </w:rPr>
        <w:t>Ag-Co</w:t>
      </w:r>
      <w:r w:rsidRPr="00FB5D9D">
        <w:rPr>
          <w:rFonts w:ascii="Symbol" w:eastAsia="Symbol" w:hAnsi="Symbol" w:cs="Symbol"/>
          <w:lang w:val="en-GB"/>
        </w:rPr>
        <w:t></w:t>
      </w:r>
      <w:r w:rsidRPr="00FB5D9D">
        <w:rPr>
          <w:lang w:val="en-GB"/>
        </w:rPr>
        <w:t xml:space="preserve"> combinations are mainly localized on the Co 3</w:t>
      </w:r>
      <m:oMath>
        <m:sSub>
          <m:sSubPr>
            <m:ctrlPr>
              <w:rPr>
                <w:rFonts w:ascii="Cambria Math" w:hAnsi="Cambria Math"/>
              </w:rPr>
            </m:ctrlPr>
          </m:sSubPr>
          <m:e>
            <m:r>
              <m:rPr>
                <m:sty m:val="p"/>
              </m:rPr>
              <w:rPr>
                <w:rFonts w:ascii="Cambria Math" w:hAnsi="Cambria Math"/>
              </w:rPr>
              <m:t>d</m:t>
            </m:r>
          </m:e>
          <m:sub>
            <m:sSup>
              <m:sSupPr>
                <m:ctrlPr>
                  <w:rPr>
                    <w:rFonts w:ascii="Cambria Math" w:hAnsi="Cambria Math"/>
                  </w:rPr>
                </m:ctrlPr>
              </m:sSupPr>
              <m:e>
                <m:r>
                  <m:rPr>
                    <m:sty m:val="p"/>
                  </m:rPr>
                  <w:rPr>
                    <w:rFonts w:ascii="Cambria Math" w:hAnsi="Cambria Math"/>
                  </w:rPr>
                  <m:t>z</m:t>
                </m:r>
              </m:e>
              <m:sup>
                <m:r>
                  <m:rPr>
                    <m:sty m:val="p"/>
                  </m:rPr>
                  <w:rPr>
                    <w:rFonts w:ascii="Cambria Math" w:hAnsi="Cambria Math"/>
                  </w:rPr>
                  <m:t>2</m:t>
                </m:r>
              </m:sup>
            </m:sSup>
          </m:sub>
        </m:sSub>
      </m:oMath>
      <w:r w:rsidRPr="00FB5D9D">
        <w:rPr>
          <w:lang w:val="en-GB"/>
        </w:rPr>
        <w:t xml:space="preserve">-based MO, while the empty </w:t>
      </w:r>
      <w:r w:rsidRPr="00FB5D9D">
        <w:rPr>
          <w:vertAlign w:val="superscript"/>
          <w:lang w:val="en-GB"/>
        </w:rPr>
        <w:t>Cu–Co</w:t>
      </w:r>
      <w:r w:rsidRPr="00FB5D9D">
        <w:rPr>
          <w:rFonts w:ascii="Symbol" w:eastAsia="Symbol" w:hAnsi="Symbol" w:cs="Symbol"/>
          <w:lang w:val="en-GB"/>
        </w:rPr>
        <w:t></w:t>
      </w:r>
      <w:r w:rsidRPr="00FB5D9D">
        <w:rPr>
          <w:vertAlign w:val="superscript"/>
          <w:lang w:val="en-GB"/>
        </w:rPr>
        <w:t>*</w:t>
      </w:r>
      <w:r w:rsidRPr="00FB5D9D">
        <w:rPr>
          <w:lang w:val="en-GB"/>
        </w:rPr>
        <w:t xml:space="preserve"> and </w:t>
      </w:r>
      <w:r w:rsidRPr="00FB5D9D">
        <w:rPr>
          <w:vertAlign w:val="superscript"/>
          <w:lang w:val="en-GB"/>
        </w:rPr>
        <w:t>Ag-Co</w:t>
      </w:r>
      <w:r w:rsidRPr="00FB5D9D">
        <w:rPr>
          <w:rFonts w:ascii="Symbol" w:eastAsia="Symbol" w:hAnsi="Symbol" w:cs="Symbol"/>
          <w:lang w:val="en-GB"/>
        </w:rPr>
        <w:t></w:t>
      </w:r>
      <w:r w:rsidRPr="00FB5D9D">
        <w:rPr>
          <w:vertAlign w:val="superscript"/>
          <w:lang w:val="en-GB"/>
        </w:rPr>
        <w:t>*</w:t>
      </w:r>
      <w:r w:rsidRPr="00FB5D9D">
        <w:rPr>
          <w:lang w:val="en-GB"/>
        </w:rPr>
        <w:t xml:space="preserve"> ones are strongly concentrated (&gt; 50%) on the </w:t>
      </w:r>
      <w:r w:rsidRPr="00FB5D9D">
        <w:rPr>
          <w:vertAlign w:val="superscript"/>
          <w:lang w:val="en-GB"/>
        </w:rPr>
        <w:t>Cu</w:t>
      </w:r>
      <w:r w:rsidRPr="00FB5D9D">
        <w:rPr>
          <w:lang w:val="en-GB"/>
        </w:rPr>
        <w:t xml:space="preserve">4s-based and </w:t>
      </w:r>
      <w:r w:rsidRPr="00FB5D9D">
        <w:rPr>
          <w:vertAlign w:val="superscript"/>
          <w:lang w:val="en-GB"/>
        </w:rPr>
        <w:t>Ag</w:t>
      </w:r>
      <w:r w:rsidRPr="00FB5D9D">
        <w:rPr>
          <w:lang w:val="en-GB"/>
        </w:rPr>
        <w:t>5s-based MO, respectively. As such, it can be also useful to mention that the Cu and Ag Hirshfeld charges (Q) [</w:t>
      </w:r>
      <w:r w:rsidRPr="00FB5D9D">
        <w:rPr>
          <w:lang w:val="en-GB"/>
        </w:rPr>
        <w:fldChar w:fldCharType="begin"/>
      </w:r>
      <w:r w:rsidRPr="00FB5D9D">
        <w:rPr>
          <w:lang w:val="en-GB"/>
        </w:rPr>
        <w:instrText>REF _Ref53411424 \r \h</w:instrText>
      </w:r>
      <w:r w:rsidRPr="00FB5D9D">
        <w:rPr>
          <w:lang w:val="en-GB"/>
        </w:rPr>
      </w:r>
      <w:r>
        <w:rPr>
          <w:lang w:val="en-GB"/>
        </w:rPr>
        <w:instrText xml:space="preserve"> \* MERGEFORMAT </w:instrText>
      </w:r>
      <w:r w:rsidRPr="00FB5D9D">
        <w:rPr>
          <w:lang w:val="en-GB"/>
        </w:rPr>
        <w:fldChar w:fldCharType="separate"/>
      </w:r>
      <w:r w:rsidRPr="00FB5D9D">
        <w:rPr>
          <w:lang w:val="en-GB"/>
        </w:rPr>
        <w:t>46</w:t>
      </w:r>
      <w:r w:rsidRPr="00FB5D9D">
        <w:rPr>
          <w:lang w:val="en-GB"/>
        </w:rPr>
        <w:fldChar w:fldCharType="end"/>
      </w:r>
      <w:r w:rsidRPr="00FB5D9D">
        <w:rPr>
          <w:lang w:val="en-GB"/>
        </w:rPr>
        <w:t>] of the Cu-CoTPP and Ag-CoTPP C</w:t>
      </w:r>
      <w:r w:rsidRPr="00FB5D9D">
        <w:rPr>
          <w:vertAlign w:val="subscript"/>
          <w:lang w:val="en-GB"/>
        </w:rPr>
        <w:t>4v</w:t>
      </w:r>
      <w:r w:rsidRPr="00FB5D9D">
        <w:rPr>
          <w:lang w:val="en-GB"/>
        </w:rPr>
        <w:t xml:space="preserve"> clusters amount to 0.19 and 0.24, respectively (see Table S31 of the SM). Incidentally, the LS state foreseen by the molecular cluster model herein adopted and implying the presence of a pseudo 3d</w:t>
      </w:r>
      <w:r w:rsidRPr="00FB5D9D">
        <w:rPr>
          <w:vertAlign w:val="superscript"/>
          <w:lang w:val="en-GB"/>
        </w:rPr>
        <w:t>8</w:t>
      </w:r>
      <w:r w:rsidRPr="00FB5D9D">
        <w:rPr>
          <w:lang w:val="en-GB"/>
        </w:rPr>
        <w:t xml:space="preserve"> Co</w:t>
      </w:r>
      <w:r w:rsidRPr="00FB5D9D">
        <w:rPr>
          <w:vertAlign w:val="superscript"/>
          <w:lang w:val="en-GB"/>
        </w:rPr>
        <w:t>I</w:t>
      </w:r>
      <w:r w:rsidRPr="00FB5D9D">
        <w:rPr>
          <w:lang w:val="en-GB"/>
        </w:rPr>
        <w:t xml:space="preserve"> species well agrees with DFT periodic calculations modelling the CoTPP chemisorption on Cu and Ag surfaces [</w:t>
      </w:r>
      <w:r w:rsidRPr="00FB5D9D">
        <w:rPr>
          <w:lang w:val="en-GB"/>
        </w:rPr>
        <w:fldChar w:fldCharType="begin"/>
      </w:r>
      <w:r w:rsidRPr="00FB5D9D">
        <w:rPr>
          <w:lang w:val="en-GB"/>
        </w:rPr>
        <w:instrText>REF _Ref82095282 \r \h</w:instrText>
      </w:r>
      <w:r w:rsidRPr="00FB5D9D">
        <w:rPr>
          <w:lang w:val="en-GB"/>
        </w:rPr>
      </w:r>
      <w:r>
        <w:rPr>
          <w:lang w:val="en-GB"/>
        </w:rPr>
        <w:instrText xml:space="preserve"> \* MERGEFORMAT </w:instrText>
      </w:r>
      <w:r w:rsidRPr="00FB5D9D">
        <w:rPr>
          <w:lang w:val="en-GB"/>
        </w:rPr>
        <w:fldChar w:fldCharType="separate"/>
      </w:r>
      <w:r w:rsidRPr="00FB5D9D">
        <w:rPr>
          <w:lang w:val="en-GB"/>
        </w:rPr>
        <w:t>20</w:t>
      </w:r>
      <w:r w:rsidRPr="00FB5D9D">
        <w:rPr>
          <w:lang w:val="en-GB"/>
        </w:rPr>
        <w:fldChar w:fldCharType="end"/>
      </w:r>
      <w:r w:rsidRPr="00FB5D9D">
        <w:rPr>
          <w:lang w:val="en-GB"/>
        </w:rPr>
        <w:t>,</w:t>
      </w:r>
      <w:r w:rsidRPr="00FB5D9D">
        <w:rPr>
          <w:lang w:val="en-GB"/>
        </w:rPr>
        <w:fldChar w:fldCharType="begin"/>
      </w:r>
      <w:r w:rsidRPr="00FB5D9D">
        <w:rPr>
          <w:lang w:val="en-GB"/>
        </w:rPr>
        <w:instrText>REF _Ref82089106 \r \h</w:instrText>
      </w:r>
      <w:r w:rsidRPr="00FB5D9D">
        <w:rPr>
          <w:lang w:val="en-GB"/>
        </w:rPr>
      </w:r>
      <w:r>
        <w:rPr>
          <w:lang w:val="en-GB"/>
        </w:rPr>
        <w:instrText xml:space="preserve"> \* MERGEFORMAT </w:instrText>
      </w:r>
      <w:r w:rsidRPr="00FB5D9D">
        <w:rPr>
          <w:lang w:val="en-GB"/>
        </w:rPr>
        <w:fldChar w:fldCharType="separate"/>
      </w:r>
      <w:r w:rsidRPr="00FB5D9D">
        <w:rPr>
          <w:lang w:val="en-GB"/>
        </w:rPr>
        <w:t>25</w:t>
      </w:r>
      <w:r w:rsidRPr="00FB5D9D">
        <w:rPr>
          <w:lang w:val="en-GB"/>
        </w:rPr>
        <w:fldChar w:fldCharType="end"/>
      </w:r>
      <w:r w:rsidRPr="00FB5D9D">
        <w:rPr>
          <w:lang w:val="en-GB"/>
        </w:rPr>
        <w:t>,</w:t>
      </w:r>
      <w:r w:rsidRPr="00FB5D9D">
        <w:rPr>
          <w:lang w:val="en-GB"/>
        </w:rPr>
        <w:fldChar w:fldCharType="begin"/>
      </w:r>
      <w:r w:rsidRPr="00FB5D9D">
        <w:rPr>
          <w:lang w:val="en-GB"/>
        </w:rPr>
        <w:instrText>REF _Ref82089609 \r \h</w:instrText>
      </w:r>
      <w:r w:rsidRPr="00FB5D9D">
        <w:rPr>
          <w:lang w:val="en-GB"/>
        </w:rPr>
      </w:r>
      <w:r>
        <w:rPr>
          <w:lang w:val="en-GB"/>
        </w:rPr>
        <w:instrText xml:space="preserve"> \* MERGEFORMAT </w:instrText>
      </w:r>
      <w:r w:rsidRPr="00FB5D9D">
        <w:rPr>
          <w:lang w:val="en-GB"/>
        </w:rPr>
        <w:fldChar w:fldCharType="separate"/>
      </w:r>
      <w:r w:rsidRPr="00FB5D9D">
        <w:rPr>
          <w:lang w:val="en-GB"/>
        </w:rPr>
        <w:t>26</w:t>
      </w:r>
      <w:r w:rsidRPr="00FB5D9D">
        <w:rPr>
          <w:lang w:val="en-GB"/>
        </w:rPr>
        <w:fldChar w:fldCharType="end"/>
      </w:r>
      <w:r w:rsidRPr="00FB5D9D">
        <w:rPr>
          <w:lang w:val="en-GB"/>
        </w:rPr>
        <w:t>,</w:t>
      </w:r>
      <w:r w:rsidRPr="00FB5D9D">
        <w:rPr>
          <w:lang w:val="en-GB"/>
        </w:rPr>
        <w:fldChar w:fldCharType="begin"/>
      </w:r>
      <w:r w:rsidRPr="00FB5D9D">
        <w:rPr>
          <w:lang w:val="en-GB"/>
        </w:rPr>
        <w:instrText>REF _Ref82095211 \r \h</w:instrText>
      </w:r>
      <w:r w:rsidRPr="00FB5D9D">
        <w:rPr>
          <w:lang w:val="en-GB"/>
        </w:rPr>
      </w:r>
      <w:r>
        <w:rPr>
          <w:lang w:val="en-GB"/>
        </w:rPr>
        <w:instrText xml:space="preserve"> \* MERGEFORMAT </w:instrText>
      </w:r>
      <w:r w:rsidRPr="00FB5D9D">
        <w:rPr>
          <w:lang w:val="en-GB"/>
        </w:rPr>
        <w:fldChar w:fldCharType="separate"/>
      </w:r>
      <w:r w:rsidRPr="00FB5D9D">
        <w:rPr>
          <w:lang w:val="en-GB"/>
        </w:rPr>
        <w:t>28</w:t>
      </w:r>
      <w:r w:rsidRPr="00FB5D9D">
        <w:rPr>
          <w:lang w:val="en-GB"/>
        </w:rPr>
        <w:fldChar w:fldCharType="end"/>
      </w:r>
      <w:r w:rsidRPr="00FB5D9D">
        <w:rPr>
          <w:lang w:val="en-GB"/>
        </w:rPr>
        <w:t>-</w:t>
      </w:r>
      <w:r w:rsidRPr="00FB5D9D">
        <w:rPr>
          <w:lang w:val="en-GB"/>
        </w:rPr>
        <w:fldChar w:fldCharType="begin"/>
      </w:r>
      <w:r w:rsidRPr="00FB5D9D">
        <w:rPr>
          <w:lang w:val="en-GB"/>
        </w:rPr>
        <w:instrText>REF _Ref82095908 \r \h</w:instrText>
      </w:r>
      <w:r w:rsidRPr="00FB5D9D">
        <w:rPr>
          <w:lang w:val="en-GB"/>
        </w:rPr>
      </w:r>
      <w:r>
        <w:rPr>
          <w:lang w:val="en-GB"/>
        </w:rPr>
        <w:instrText xml:space="preserve"> \* MERGEFORMAT </w:instrText>
      </w:r>
      <w:r w:rsidRPr="00FB5D9D">
        <w:rPr>
          <w:lang w:val="en-GB"/>
        </w:rPr>
        <w:fldChar w:fldCharType="separate"/>
      </w:r>
      <w:r w:rsidRPr="00FB5D9D">
        <w:rPr>
          <w:lang w:val="en-GB"/>
        </w:rPr>
        <w:t>31</w:t>
      </w:r>
      <w:r w:rsidRPr="00FB5D9D">
        <w:rPr>
          <w:lang w:val="en-GB"/>
        </w:rPr>
        <w:fldChar w:fldCharType="end"/>
      </w:r>
      <w:r w:rsidRPr="00FB5D9D">
        <w:rPr>
          <w:lang w:val="en-GB"/>
        </w:rPr>
        <w:t>,</w:t>
      </w:r>
      <w:r w:rsidRPr="00FB5D9D">
        <w:rPr>
          <w:lang w:val="en-GB"/>
        </w:rPr>
        <w:fldChar w:fldCharType="begin"/>
      </w:r>
      <w:r w:rsidRPr="00FB5D9D">
        <w:rPr>
          <w:lang w:val="en-GB"/>
        </w:rPr>
        <w:instrText>REF _Ref82097156 \r \h</w:instrText>
      </w:r>
      <w:r w:rsidRPr="00FB5D9D">
        <w:rPr>
          <w:lang w:val="en-GB"/>
        </w:rPr>
      </w:r>
      <w:r>
        <w:rPr>
          <w:lang w:val="en-GB"/>
        </w:rPr>
        <w:instrText xml:space="preserve"> \* MERGEFORMAT </w:instrText>
      </w:r>
      <w:r w:rsidRPr="00FB5D9D">
        <w:rPr>
          <w:lang w:val="en-GB"/>
        </w:rPr>
        <w:fldChar w:fldCharType="separate"/>
      </w:r>
      <w:r w:rsidRPr="00FB5D9D">
        <w:rPr>
          <w:lang w:val="en-GB"/>
        </w:rPr>
        <w:t>33</w:t>
      </w:r>
      <w:r w:rsidRPr="00FB5D9D">
        <w:rPr>
          <w:lang w:val="en-GB"/>
        </w:rPr>
        <w:fldChar w:fldCharType="end"/>
      </w:r>
      <w:r w:rsidRPr="00FB5D9D">
        <w:rPr>
          <w:lang w:val="en-GB"/>
        </w:rPr>
        <w:t>].</w:t>
      </w:r>
    </w:p>
    <w:p w:rsidR="00FB5D9D" w:rsidRPr="00FB5D9D" w:rsidRDefault="00FB5D9D" w:rsidP="00FB5D9D">
      <w:pPr>
        <w:pStyle w:val="MDPI51figurecaption"/>
        <w:jc w:val="center"/>
        <w:rPr>
          <w:sz w:val="20"/>
          <w:lang w:val="en-GB"/>
        </w:rPr>
      </w:pPr>
      <w:r w:rsidRPr="00FB5D9D">
        <w:rPr>
          <w:noProof/>
          <w:sz w:val="20"/>
          <w:lang w:eastAsia="en-US" w:bidi="ar-SA"/>
        </w:rPr>
        <w:drawing>
          <wp:inline distT="0" distB="0" distL="0" distR="0" wp14:anchorId="187FE26C" wp14:editId="7D1E162F">
            <wp:extent cx="4107473" cy="3060000"/>
            <wp:effectExtent l="0" t="0" r="0" b="1270"/>
            <wp:docPr id="5" name="Picture 5" descr="Chart, map,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map, polyg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7473" cy="3060000"/>
                    </a:xfrm>
                    <a:prstGeom prst="rect">
                      <a:avLst/>
                    </a:prstGeom>
                  </pic:spPr>
                </pic:pic>
              </a:graphicData>
            </a:graphic>
          </wp:inline>
        </w:drawing>
      </w:r>
    </w:p>
    <w:p w:rsidR="00FB5D9D" w:rsidRPr="00FB5D9D" w:rsidRDefault="00FB5D9D" w:rsidP="00FB5D9D">
      <w:pPr>
        <w:pStyle w:val="MDPI21heading1"/>
        <w:jc w:val="both"/>
        <w:rPr>
          <w:b w:val="0"/>
          <w:lang w:val="en-GB"/>
        </w:rPr>
      </w:pPr>
      <w:r w:rsidRPr="00FB5D9D">
        <w:rPr>
          <w:bCs/>
          <w:sz w:val="16"/>
          <w:szCs w:val="16"/>
          <w:lang w:val="en-GB"/>
        </w:rPr>
        <w:t>Figure 1</w:t>
      </w:r>
      <w:r w:rsidRPr="00FB5D9D">
        <w:rPr>
          <w:b w:val="0"/>
          <w:sz w:val="16"/>
          <w:szCs w:val="16"/>
          <w:lang w:val="en-GB"/>
        </w:rPr>
        <w:t>: Interaction diagrams between ground state energy levels of CoTPP and the (n + 1)s MS AO for the (A) Cu-CoTPP, (B) Ag-CoTPP and (C) Au-CoTPP C</w:t>
      </w:r>
      <w:r w:rsidRPr="00FB5D9D">
        <w:rPr>
          <w:b w:val="0"/>
          <w:sz w:val="16"/>
          <w:szCs w:val="16"/>
          <w:vertAlign w:val="subscript"/>
          <w:lang w:val="en-GB"/>
        </w:rPr>
        <w:t>4v</w:t>
      </w:r>
      <w:r w:rsidRPr="00FB5D9D">
        <w:rPr>
          <w:b w:val="0"/>
          <w:sz w:val="16"/>
          <w:szCs w:val="16"/>
          <w:lang w:val="en-GB"/>
        </w:rPr>
        <w:t xml:space="preserve"> clusters. 3D plots of the in-phase and out-of-phase combinations between </w:t>
      </w:r>
      <w:r w:rsidRPr="00FB5D9D">
        <w:rPr>
          <w:rStyle w:val="RSCB02ArticleTextChar"/>
          <w:b w:val="0"/>
          <w:sz w:val="16"/>
          <w:szCs w:val="16"/>
        </w:rPr>
        <w:t>the Co 3d</w:t>
      </w:r>
      <w:r w:rsidRPr="00FB5D9D">
        <w:rPr>
          <w:rStyle w:val="RSCB02ArticleTextChar"/>
          <w:b w:val="0"/>
          <w:sz w:val="16"/>
          <w:szCs w:val="16"/>
          <w:vertAlign w:val="subscript"/>
        </w:rPr>
        <w:t>z</w:t>
      </w:r>
      <w:r w:rsidRPr="00FB5D9D">
        <w:rPr>
          <w:rStyle w:val="RSCB02ArticleTextChar"/>
          <w:b w:val="0"/>
          <w:sz w:val="8"/>
          <w:szCs w:val="8"/>
        </w:rPr>
        <w:t>2</w:t>
      </w:r>
      <w:r w:rsidRPr="00FB5D9D">
        <w:rPr>
          <w:b w:val="0"/>
          <w:sz w:val="15"/>
          <w:szCs w:val="18"/>
          <w:lang w:val="en-GB"/>
        </w:rPr>
        <w:t>-based</w:t>
      </w:r>
      <w:r w:rsidRPr="00FB5D9D">
        <w:rPr>
          <w:rStyle w:val="RSCB02ArticleTextChar"/>
          <w:b w:val="0"/>
          <w:sz w:val="16"/>
          <w:szCs w:val="16"/>
        </w:rPr>
        <w:t xml:space="preserve"> MO</w:t>
      </w:r>
      <w:r w:rsidRPr="00FB5D9D">
        <w:rPr>
          <w:b w:val="0"/>
          <w:sz w:val="16"/>
          <w:szCs w:val="16"/>
          <w:lang w:val="en-GB"/>
        </w:rPr>
        <w:t xml:space="preserve"> and the MS (</w:t>
      </w:r>
      <w:r w:rsidRPr="00FB5D9D">
        <w:rPr>
          <w:b w:val="0"/>
          <w:i/>
          <w:sz w:val="16"/>
          <w:szCs w:val="16"/>
          <w:lang w:val="en-GB"/>
        </w:rPr>
        <w:t>n</w:t>
      </w:r>
      <w:r w:rsidRPr="00FB5D9D">
        <w:rPr>
          <w:b w:val="0"/>
          <w:sz w:val="16"/>
          <w:szCs w:val="16"/>
          <w:lang w:val="en-GB"/>
        </w:rPr>
        <w:t xml:space="preserve"> + 1)s AO are also displayed (isosurfaces correspond to ± 0.03 </w:t>
      </w:r>
      <w:r w:rsidRPr="00FB5D9D">
        <w:rPr>
          <w:b w:val="0"/>
          <w:i/>
          <w:sz w:val="16"/>
          <w:szCs w:val="16"/>
          <w:lang w:val="en-GB"/>
        </w:rPr>
        <w:t>e</w:t>
      </w:r>
      <w:r w:rsidRPr="00FB5D9D">
        <w:rPr>
          <w:b w:val="0"/>
          <w:sz w:val="16"/>
          <w:szCs w:val="16"/>
          <w:vertAlign w:val="superscript"/>
          <w:lang w:val="en-GB"/>
        </w:rPr>
        <w:t>1/2</w:t>
      </w:r>
      <w:r w:rsidRPr="00FB5D9D">
        <w:rPr>
          <w:b w:val="0"/>
          <w:sz w:val="16"/>
          <w:szCs w:val="16"/>
          <w:lang w:val="en-GB"/>
        </w:rPr>
        <w:t xml:space="preserve"> </w:t>
      </w:r>
      <w:r w:rsidRPr="00FB5D9D">
        <w:rPr>
          <w:rFonts w:ascii="Symbol" w:eastAsia="Symbol" w:hAnsi="Symbol" w:cs="Symbol"/>
          <w:b w:val="0"/>
          <w:sz w:val="16"/>
          <w:szCs w:val="16"/>
          <w:lang w:val="en-GB"/>
        </w:rPr>
        <w:t></w:t>
      </w:r>
      <w:r w:rsidRPr="00FB5D9D">
        <w:rPr>
          <w:b w:val="0"/>
          <w:sz w:val="16"/>
          <w:szCs w:val="16"/>
          <w:lang w:val="en-GB"/>
        </w:rPr>
        <w:t xml:space="preserve"> A</w:t>
      </w:r>
      <w:r w:rsidRPr="00FB5D9D">
        <w:rPr>
          <w:b w:val="0"/>
          <w:sz w:val="16"/>
          <w:szCs w:val="16"/>
          <w:vertAlign w:val="superscript"/>
          <w:lang w:val="en-GB"/>
        </w:rPr>
        <w:t>-3/2</w:t>
      </w:r>
      <w:r w:rsidRPr="00FB5D9D">
        <w:rPr>
          <w:b w:val="0"/>
          <w:sz w:val="16"/>
          <w:szCs w:val="16"/>
          <w:lang w:val="en-GB"/>
        </w:rPr>
        <w:t xml:space="preserve">). (D) Sketch of the different charge transfer behaviour along the triad. Colour codes are the same adopted in </w:t>
      </w:r>
      <w:r w:rsidRPr="00FB5D9D">
        <w:rPr>
          <w:sz w:val="16"/>
          <w:szCs w:val="16"/>
          <w:lang w:val="en-GB"/>
        </w:rPr>
        <w:t>Scheme 1</w:t>
      </w:r>
      <w:r w:rsidRPr="00FB5D9D">
        <w:rPr>
          <w:b w:val="0"/>
          <w:sz w:val="16"/>
          <w:szCs w:val="16"/>
          <w:lang w:val="en-GB"/>
        </w:rPr>
        <w:t>.</w:t>
      </w:r>
    </w:p>
    <w:p w:rsidR="00FB5D9D" w:rsidRPr="00FB5D9D" w:rsidRDefault="00FB5D9D" w:rsidP="00FB5D9D">
      <w:pPr>
        <w:pStyle w:val="MDPI31text"/>
        <w:rPr>
          <w:lang w:val="en-GB"/>
        </w:rPr>
      </w:pPr>
      <w:r w:rsidRPr="00FB5D9D">
        <w:rPr>
          <w:lang w:val="en-GB"/>
        </w:rPr>
        <w:t xml:space="preserve">A change of scenery takes place when MS = Au; besides the comparable localization percentage of the </w:t>
      </w:r>
      <w:r w:rsidRPr="00FB5D9D">
        <w:rPr>
          <w:vertAlign w:val="superscript"/>
          <w:lang w:val="en-GB"/>
        </w:rPr>
        <w:t>Au–Co</w:t>
      </w:r>
      <w:r w:rsidRPr="00FB5D9D">
        <w:rPr>
          <w:rFonts w:ascii="Symbol" w:eastAsia="Symbol" w:hAnsi="Symbol" w:cs="Symbol"/>
          <w:lang w:val="en-GB"/>
        </w:rPr>
        <w:t></w:t>
      </w:r>
      <w:r w:rsidRPr="00FB5D9D">
        <w:rPr>
          <w:lang w:val="en-GB"/>
        </w:rPr>
        <w:t>* MO on the Co 3</w:t>
      </w:r>
      <m:oMath>
        <m:sSub>
          <m:sSubPr>
            <m:ctrlPr>
              <w:rPr>
                <w:rFonts w:ascii="Cambria Math" w:hAnsi="Cambria Math"/>
              </w:rPr>
            </m:ctrlPr>
          </m:sSubPr>
          <m:e>
            <m:r>
              <m:rPr>
                <m:sty m:val="p"/>
              </m:rPr>
              <w:rPr>
                <w:rFonts w:ascii="Cambria Math" w:hAnsi="Cambria Math"/>
              </w:rPr>
              <m:t>d</m:t>
            </m:r>
          </m:e>
          <m:sub>
            <m:sSup>
              <m:sSupPr>
                <m:ctrlPr>
                  <w:rPr>
                    <w:rFonts w:ascii="Cambria Math" w:hAnsi="Cambria Math"/>
                  </w:rPr>
                </m:ctrlPr>
              </m:sSupPr>
              <m:e>
                <m:r>
                  <m:rPr>
                    <m:sty m:val="p"/>
                  </m:rPr>
                  <w:rPr>
                    <w:rFonts w:ascii="Cambria Math" w:hAnsi="Cambria Math"/>
                  </w:rPr>
                  <m:t>z</m:t>
                </m:r>
              </m:e>
              <m:sup>
                <m:r>
                  <m:rPr>
                    <m:sty m:val="p"/>
                  </m:rPr>
                  <w:rPr>
                    <w:rFonts w:ascii="Cambria Math" w:hAnsi="Cambria Math"/>
                  </w:rPr>
                  <m:t>2</m:t>
                </m:r>
              </m:sup>
            </m:sSup>
          </m:sub>
        </m:sSub>
      </m:oMath>
      <w:r w:rsidRPr="00FB5D9D">
        <w:rPr>
          <w:lang w:val="en-GB"/>
        </w:rPr>
        <w:t xml:space="preserve"> and Au 6s AOs (37% and 42%, respectively), </w:t>
      </w:r>
      <w:r w:rsidRPr="00FB5D9D">
        <w:rPr>
          <w:lang w:val="en-GB"/>
        </w:rPr>
        <w:lastRenderedPageBreak/>
        <w:t xml:space="preserve">the Au–CoTPP </w:t>
      </w:r>
      <w:r w:rsidRPr="00FB5D9D">
        <w:rPr>
          <w:vertAlign w:val="superscript"/>
          <w:lang w:val="en-GB"/>
        </w:rPr>
        <w:t>Au</w:t>
      </w:r>
      <w:r w:rsidRPr="00FB5D9D">
        <w:rPr>
          <w:lang w:val="en-GB"/>
        </w:rPr>
        <w:t>Q is close to zero (0.05); in other words, no Au</w:t>
      </w:r>
      <w:r w:rsidRPr="00FB5D9D">
        <w:rPr>
          <w:vertAlign w:val="superscript"/>
          <w:lang w:val="en-GB"/>
        </w:rPr>
        <w:t>0</w:t>
      </w:r>
      <w:r w:rsidRPr="00FB5D9D">
        <w:rPr>
          <w:lang w:val="en-GB"/>
        </w:rPr>
        <w:t xml:space="preserve"> </w:t>
      </w:r>
      <w:r w:rsidRPr="00FB5D9D">
        <w:rPr>
          <w:rFonts w:ascii="Symbol" w:eastAsia="Symbol" w:hAnsi="Symbol" w:cs="Symbol"/>
          <w:lang w:val="en-GB"/>
        </w:rPr>
        <w:t></w:t>
      </w:r>
      <w:r w:rsidRPr="00FB5D9D">
        <w:rPr>
          <w:lang w:val="en-GB"/>
        </w:rPr>
        <w:t xml:space="preserve"> Co</w:t>
      </w:r>
      <w:r w:rsidRPr="00FB5D9D">
        <w:rPr>
          <w:vertAlign w:val="superscript"/>
          <w:lang w:val="en-GB"/>
        </w:rPr>
        <w:t>II</w:t>
      </w:r>
      <w:r w:rsidRPr="00FB5D9D">
        <w:rPr>
          <w:lang w:val="en-GB"/>
        </w:rPr>
        <w:t xml:space="preserve"> charge transfer able to “switch off” the CoTPP magnetization upon chemisorption on Au seems to be present [</w:t>
      </w:r>
      <w:r w:rsidRPr="00FB5D9D">
        <w:rPr>
          <w:lang w:val="en-GB"/>
        </w:rPr>
        <w:fldChar w:fldCharType="begin"/>
      </w:r>
      <w:r w:rsidRPr="00FB5D9D">
        <w:rPr>
          <w:lang w:val="en-GB"/>
        </w:rPr>
        <w:instrText>REF _Ref82088372 \r \h</w:instrText>
      </w:r>
      <w:r w:rsidRPr="00FB5D9D">
        <w:rPr>
          <w:lang w:val="en-GB"/>
        </w:rPr>
      </w:r>
      <w:r>
        <w:rPr>
          <w:lang w:val="en-GB"/>
        </w:rPr>
        <w:instrText xml:space="preserve"> \* MERGEFORMAT </w:instrText>
      </w:r>
      <w:r w:rsidRPr="00FB5D9D">
        <w:rPr>
          <w:lang w:val="en-GB"/>
        </w:rPr>
        <w:fldChar w:fldCharType="separate"/>
      </w:r>
      <w:r w:rsidRPr="00FB5D9D">
        <w:rPr>
          <w:lang w:val="en-GB"/>
        </w:rPr>
        <w:t>18</w:t>
      </w:r>
      <w:r w:rsidRPr="00FB5D9D">
        <w:rPr>
          <w:lang w:val="en-GB"/>
        </w:rPr>
        <w:fldChar w:fldCharType="end"/>
      </w:r>
      <w:r w:rsidRPr="00FB5D9D">
        <w:rPr>
          <w:lang w:val="en-GB"/>
        </w:rPr>
        <w:t>,</w:t>
      </w:r>
      <w:r w:rsidRPr="00FB5D9D">
        <w:rPr>
          <w:lang w:val="en-GB"/>
        </w:rPr>
        <w:fldChar w:fldCharType="begin"/>
      </w:r>
      <w:r w:rsidRPr="00FB5D9D">
        <w:rPr>
          <w:lang w:val="en-GB"/>
        </w:rPr>
        <w:instrText>REF _Ref82088965 \r \h</w:instrText>
      </w:r>
      <w:r w:rsidRPr="00FB5D9D">
        <w:rPr>
          <w:lang w:val="en-GB"/>
        </w:rPr>
      </w:r>
      <w:r>
        <w:rPr>
          <w:lang w:val="en-GB"/>
        </w:rPr>
        <w:instrText xml:space="preserve"> \* MERGEFORMAT </w:instrText>
      </w:r>
      <w:r w:rsidRPr="00FB5D9D">
        <w:rPr>
          <w:lang w:val="en-GB"/>
        </w:rPr>
        <w:fldChar w:fldCharType="separate"/>
      </w:r>
      <w:r w:rsidRPr="00FB5D9D">
        <w:rPr>
          <w:lang w:val="en-GB"/>
        </w:rPr>
        <w:t>21</w:t>
      </w:r>
      <w:r w:rsidRPr="00FB5D9D">
        <w:rPr>
          <w:lang w:val="en-GB"/>
        </w:rPr>
        <w:fldChar w:fldCharType="end"/>
      </w:r>
      <w:r w:rsidRPr="00FB5D9D">
        <w:rPr>
          <w:lang w:val="en-GB"/>
        </w:rPr>
        <w:t>,</w:t>
      </w:r>
      <w:r w:rsidRPr="00FB5D9D">
        <w:rPr>
          <w:lang w:val="en-GB"/>
        </w:rPr>
        <w:fldChar w:fldCharType="begin"/>
      </w:r>
      <w:r w:rsidRPr="00FB5D9D">
        <w:rPr>
          <w:lang w:val="en-GB"/>
        </w:rPr>
        <w:instrText>REF _Ref82096715 \r \h</w:instrText>
      </w:r>
      <w:r w:rsidRPr="00FB5D9D">
        <w:rPr>
          <w:lang w:val="en-GB"/>
        </w:rPr>
      </w:r>
      <w:r>
        <w:rPr>
          <w:lang w:val="en-GB"/>
        </w:rPr>
        <w:instrText xml:space="preserve"> \* MERGEFORMAT </w:instrText>
      </w:r>
      <w:r w:rsidRPr="00FB5D9D">
        <w:rPr>
          <w:lang w:val="en-GB"/>
        </w:rPr>
        <w:fldChar w:fldCharType="separate"/>
      </w:r>
      <w:r w:rsidRPr="00FB5D9D">
        <w:rPr>
          <w:lang w:val="en-GB"/>
        </w:rPr>
        <w:t>32</w:t>
      </w:r>
      <w:r w:rsidRPr="00FB5D9D">
        <w:rPr>
          <w:lang w:val="en-GB"/>
        </w:rPr>
        <w:fldChar w:fldCharType="end"/>
      </w:r>
      <w:r w:rsidRPr="00FB5D9D">
        <w:rPr>
          <w:lang w:val="en-GB"/>
        </w:rPr>
        <w:t>-</w:t>
      </w:r>
      <w:r w:rsidRPr="00FB5D9D">
        <w:rPr>
          <w:lang w:val="en-GB"/>
        </w:rPr>
        <w:fldChar w:fldCharType="begin"/>
      </w:r>
      <w:r w:rsidRPr="00FB5D9D">
        <w:rPr>
          <w:lang w:val="en-GB"/>
        </w:rPr>
        <w:instrText>REF _Ref82097156 \r \h</w:instrText>
      </w:r>
      <w:r w:rsidRPr="00FB5D9D">
        <w:rPr>
          <w:lang w:val="en-GB"/>
        </w:rPr>
      </w:r>
      <w:r>
        <w:rPr>
          <w:lang w:val="en-GB"/>
        </w:rPr>
        <w:instrText xml:space="preserve"> \* MERGEFORMAT </w:instrText>
      </w:r>
      <w:r w:rsidRPr="00FB5D9D">
        <w:rPr>
          <w:lang w:val="en-GB"/>
        </w:rPr>
        <w:fldChar w:fldCharType="separate"/>
      </w:r>
      <w:r w:rsidRPr="00FB5D9D">
        <w:rPr>
          <w:lang w:val="en-GB"/>
        </w:rPr>
        <w:t>33</w:t>
      </w:r>
      <w:r w:rsidRPr="00FB5D9D">
        <w:rPr>
          <w:lang w:val="en-GB"/>
        </w:rPr>
        <w:fldChar w:fldCharType="end"/>
      </w:r>
      <w:r w:rsidRPr="00FB5D9D">
        <w:rPr>
          <w:lang w:val="en-GB"/>
        </w:rPr>
        <w:t xml:space="preserve">]. In summary, the obtained results demonstrate that simple, tiny, and computationally unexpensive models may be exploited to rationalize the magnetic behaviour of CoTPP upon chemisorption on coinage metals.   </w:t>
      </w:r>
    </w:p>
    <w:p w:rsidR="00FB5D9D" w:rsidRPr="00FB5D9D" w:rsidRDefault="00FB5D9D" w:rsidP="00FB5D9D">
      <w:pPr>
        <w:pStyle w:val="MDPI31text"/>
        <w:ind w:firstLine="0"/>
        <w:rPr>
          <w:lang w:val="en-GB"/>
        </w:rPr>
      </w:pPr>
      <w:r w:rsidRPr="00FB5D9D">
        <w:rPr>
          <w:b/>
          <w:lang w:val="en-GB"/>
        </w:rPr>
        <w:t>3.2 CoTPP–L adducts (L = CO, NH</w:t>
      </w:r>
      <w:r w:rsidRPr="00FB5D9D">
        <w:rPr>
          <w:b/>
          <w:vertAlign w:val="subscript"/>
          <w:lang w:val="en-GB"/>
        </w:rPr>
        <w:t>3</w:t>
      </w:r>
      <w:r w:rsidRPr="00FB5D9D">
        <w:rPr>
          <w:b/>
          <w:lang w:val="en-GB"/>
        </w:rPr>
        <w:t>, NO, NO</w:t>
      </w:r>
      <w:r w:rsidRPr="00FB5D9D">
        <w:rPr>
          <w:b/>
          <w:vertAlign w:val="subscript"/>
          <w:lang w:val="en-GB"/>
        </w:rPr>
        <w:t>2</w:t>
      </w:r>
      <w:r w:rsidRPr="00FB5D9D">
        <w:rPr>
          <w:b/>
          <w:lang w:val="en-GB"/>
        </w:rPr>
        <w:t>, O</w:t>
      </w:r>
      <w:r w:rsidRPr="00FB5D9D">
        <w:rPr>
          <w:b/>
          <w:vertAlign w:val="subscript"/>
          <w:lang w:val="en-GB"/>
        </w:rPr>
        <w:t>2</w:t>
      </w:r>
      <w:r w:rsidRPr="00FB5D9D">
        <w:rPr>
          <w:b/>
          <w:lang w:val="en-GB"/>
        </w:rPr>
        <w:t>)</w:t>
      </w:r>
      <w:r w:rsidRPr="00FB5D9D">
        <w:rPr>
          <w:lang w:val="en-GB"/>
        </w:rPr>
        <w:t>. The L selection has been ruled by the presence in the literature of experimental and theoretical data pertaining to the CoTPP–L adducts [</w:t>
      </w:r>
      <w:r w:rsidRPr="00FB5D9D">
        <w:rPr>
          <w:lang w:val="en-GB"/>
        </w:rPr>
        <w:fldChar w:fldCharType="begin"/>
      </w:r>
      <w:r w:rsidRPr="00FB5D9D">
        <w:rPr>
          <w:lang w:val="en-GB"/>
        </w:rPr>
        <w:instrText>REF _Ref82088879 \r \h</w:instrText>
      </w:r>
      <w:r w:rsidRPr="00FB5D9D">
        <w:rPr>
          <w:lang w:val="en-GB"/>
        </w:rPr>
      </w:r>
      <w:r>
        <w:rPr>
          <w:lang w:val="en-GB"/>
        </w:rPr>
        <w:instrText xml:space="preserve"> \* MERGEFORMAT </w:instrText>
      </w:r>
      <w:r w:rsidRPr="00FB5D9D">
        <w:rPr>
          <w:lang w:val="en-GB"/>
        </w:rPr>
        <w:fldChar w:fldCharType="separate"/>
      </w:r>
      <w:r w:rsidRPr="00FB5D9D">
        <w:rPr>
          <w:lang w:val="en-GB"/>
        </w:rPr>
        <w:t>24</w:t>
      </w:r>
      <w:r w:rsidRPr="00FB5D9D">
        <w:rPr>
          <w:lang w:val="en-GB"/>
        </w:rPr>
        <w:fldChar w:fldCharType="end"/>
      </w:r>
      <w:r w:rsidRPr="00FB5D9D">
        <w:rPr>
          <w:lang w:val="en-GB"/>
        </w:rPr>
        <w:t>-</w:t>
      </w:r>
      <w:r w:rsidRPr="00FB5D9D">
        <w:rPr>
          <w:lang w:val="en-GB"/>
        </w:rPr>
        <w:fldChar w:fldCharType="begin"/>
      </w:r>
      <w:r w:rsidRPr="00FB5D9D">
        <w:rPr>
          <w:lang w:val="en-GB"/>
        </w:rPr>
        <w:instrText>REF _Ref82089106 \r \h</w:instrText>
      </w:r>
      <w:r w:rsidRPr="00FB5D9D">
        <w:rPr>
          <w:lang w:val="en-GB"/>
        </w:rPr>
      </w:r>
      <w:r>
        <w:rPr>
          <w:lang w:val="en-GB"/>
        </w:rPr>
        <w:instrText xml:space="preserve"> \* MERGEFORMAT </w:instrText>
      </w:r>
      <w:r w:rsidRPr="00FB5D9D">
        <w:rPr>
          <w:lang w:val="en-GB"/>
        </w:rPr>
        <w:fldChar w:fldCharType="separate"/>
      </w:r>
      <w:r w:rsidRPr="00FB5D9D">
        <w:rPr>
          <w:lang w:val="en-GB"/>
        </w:rPr>
        <w:t>25</w:t>
      </w:r>
      <w:r w:rsidRPr="00FB5D9D">
        <w:rPr>
          <w:lang w:val="en-GB"/>
        </w:rPr>
        <w:fldChar w:fldCharType="end"/>
      </w:r>
      <w:r w:rsidRPr="00FB5D9D">
        <w:rPr>
          <w:lang w:val="en-GB"/>
        </w:rPr>
        <w:t>,</w:t>
      </w:r>
      <w:r w:rsidRPr="00FB5D9D">
        <w:rPr>
          <w:lang w:val="en-GB"/>
        </w:rPr>
        <w:fldChar w:fldCharType="begin"/>
      </w:r>
      <w:r w:rsidRPr="00FB5D9D">
        <w:rPr>
          <w:lang w:val="en-GB"/>
        </w:rPr>
        <w:instrText>REF _Ref82097156 \r \h</w:instrText>
      </w:r>
      <w:r w:rsidRPr="00FB5D9D">
        <w:rPr>
          <w:lang w:val="en-GB"/>
        </w:rPr>
      </w:r>
      <w:r>
        <w:rPr>
          <w:lang w:val="en-GB"/>
        </w:rPr>
        <w:instrText xml:space="preserve"> \* MERGEFORMAT </w:instrText>
      </w:r>
      <w:r w:rsidRPr="00FB5D9D">
        <w:rPr>
          <w:lang w:val="en-GB"/>
        </w:rPr>
        <w:fldChar w:fldCharType="separate"/>
      </w:r>
      <w:r w:rsidRPr="00FB5D9D">
        <w:rPr>
          <w:lang w:val="en-GB"/>
        </w:rPr>
        <w:t>33</w:t>
      </w:r>
      <w:r w:rsidRPr="00FB5D9D">
        <w:rPr>
          <w:lang w:val="en-GB"/>
        </w:rPr>
        <w:fldChar w:fldCharType="end"/>
      </w:r>
      <w:r w:rsidRPr="00FB5D9D">
        <w:rPr>
          <w:lang w:val="en-GB"/>
        </w:rPr>
        <w:t>]. The L herein considered may be divided in two groups according to their diamagnetic (CO and NH</w:t>
      </w:r>
      <w:r w:rsidRPr="00FB5D9D">
        <w:rPr>
          <w:vertAlign w:val="subscript"/>
          <w:lang w:val="en-GB"/>
        </w:rPr>
        <w:t>3</w:t>
      </w:r>
      <w:r w:rsidRPr="00FB5D9D">
        <w:rPr>
          <w:lang w:val="en-GB"/>
        </w:rPr>
        <w:t xml:space="preserve">, hereafter </w:t>
      </w:r>
      <w:r w:rsidRPr="00FB5D9D">
        <w:rPr>
          <w:vertAlign w:val="superscript"/>
          <w:lang w:val="en-GB"/>
        </w:rPr>
        <w:t>0</w:t>
      </w:r>
      <w:r w:rsidRPr="00FB5D9D">
        <w:rPr>
          <w:lang w:val="en-GB"/>
        </w:rPr>
        <w:t>L) or paramagnetic (NO and NO</w:t>
      </w:r>
      <w:r w:rsidRPr="00FB5D9D">
        <w:rPr>
          <w:vertAlign w:val="subscript"/>
          <w:lang w:val="en-GB"/>
        </w:rPr>
        <w:t>2</w:t>
      </w:r>
      <w:r w:rsidRPr="00FB5D9D">
        <w:rPr>
          <w:lang w:val="en-GB"/>
        </w:rPr>
        <w:t xml:space="preserve">, </w:t>
      </w:r>
      <w:r w:rsidRPr="00FB5D9D">
        <w:rPr>
          <w:vertAlign w:val="superscript"/>
          <w:lang w:val="en-GB"/>
        </w:rPr>
        <w:t>1</w:t>
      </w:r>
      <w:r w:rsidRPr="00FB5D9D">
        <w:rPr>
          <w:lang w:val="en-GB"/>
        </w:rPr>
        <w:t>L; O</w:t>
      </w:r>
      <w:r w:rsidRPr="00FB5D9D">
        <w:rPr>
          <w:vertAlign w:val="subscript"/>
          <w:lang w:val="en-GB"/>
        </w:rPr>
        <w:t>2</w:t>
      </w:r>
      <w:r w:rsidRPr="00FB5D9D">
        <w:rPr>
          <w:lang w:val="en-GB"/>
        </w:rPr>
        <w:t xml:space="preserve">, </w:t>
      </w:r>
      <w:r w:rsidRPr="00FB5D9D">
        <w:rPr>
          <w:vertAlign w:val="superscript"/>
          <w:lang w:val="en-GB"/>
        </w:rPr>
        <w:t>2</w:t>
      </w:r>
      <w:r w:rsidRPr="00FB5D9D">
        <w:rPr>
          <w:lang w:val="en-GB"/>
        </w:rPr>
        <w:t>L) nature, where the superscripts 0, 1 and 2 simply refer to the number of unpaired electrons carried by L. The valence manifold of the CoTPP–</w:t>
      </w:r>
      <w:r w:rsidRPr="00FB5D9D">
        <w:rPr>
          <w:vertAlign w:val="superscript"/>
          <w:lang w:val="en-GB"/>
        </w:rPr>
        <w:t>0</w:t>
      </w:r>
      <w:r w:rsidRPr="00FB5D9D">
        <w:rPr>
          <w:lang w:val="en-GB"/>
        </w:rPr>
        <w:t xml:space="preserve">L adducts is unavoidably characterized by the presence of </w:t>
      </w:r>
      <w:r w:rsidRPr="00FB5D9D">
        <w:rPr>
          <w:rFonts w:ascii="Times New Roman" w:hAnsi="Times New Roman"/>
          <w:lang/>
        </w:rPr>
        <w:t>a</w:t>
      </w:r>
      <w:r w:rsidRPr="00FB5D9D">
        <w:rPr>
          <w:lang w:val="en-GB"/>
        </w:rPr>
        <w:t xml:space="preserve"> single unpaired electron [</w:t>
      </w:r>
      <w:r w:rsidRPr="00FB5D9D">
        <w:rPr>
          <w:lang w:val="en-GB"/>
        </w:rPr>
        <w:fldChar w:fldCharType="begin"/>
      </w:r>
      <w:r w:rsidRPr="00FB5D9D">
        <w:rPr>
          <w:lang w:val="en-GB"/>
        </w:rPr>
        <w:instrText>REF _Ref82088879 \r \h</w:instrText>
      </w:r>
      <w:r w:rsidRPr="00FB5D9D">
        <w:rPr>
          <w:lang w:val="en-GB"/>
        </w:rPr>
      </w:r>
      <w:r>
        <w:rPr>
          <w:lang w:val="en-GB"/>
        </w:rPr>
        <w:instrText xml:space="preserve"> \* MERGEFORMAT </w:instrText>
      </w:r>
      <w:r w:rsidRPr="00FB5D9D">
        <w:rPr>
          <w:lang w:val="en-GB"/>
        </w:rPr>
        <w:fldChar w:fldCharType="separate"/>
      </w:r>
      <w:r w:rsidRPr="00FB5D9D">
        <w:rPr>
          <w:lang w:val="en-GB"/>
        </w:rPr>
        <w:t>24</w:t>
      </w:r>
      <w:r w:rsidRPr="00FB5D9D">
        <w:rPr>
          <w:lang w:val="en-GB"/>
        </w:rPr>
        <w:fldChar w:fldCharType="end"/>
      </w:r>
      <w:r w:rsidRPr="00FB5D9D">
        <w:rPr>
          <w:lang w:val="en-GB"/>
        </w:rPr>
        <w:t>,</w:t>
      </w:r>
      <w:r w:rsidRPr="00FB5D9D">
        <w:rPr>
          <w:lang w:val="en-GB"/>
        </w:rPr>
        <w:fldChar w:fldCharType="begin"/>
      </w:r>
      <w:r w:rsidRPr="00FB5D9D">
        <w:rPr>
          <w:lang w:val="en-GB"/>
        </w:rPr>
        <w:instrText>REF _Ref82097156 \r \h</w:instrText>
      </w:r>
      <w:r w:rsidRPr="00FB5D9D">
        <w:rPr>
          <w:lang w:val="en-GB"/>
        </w:rPr>
      </w:r>
      <w:r>
        <w:rPr>
          <w:lang w:val="en-GB"/>
        </w:rPr>
        <w:instrText xml:space="preserve"> \* MERGEFORMAT </w:instrText>
      </w:r>
      <w:r w:rsidRPr="00FB5D9D">
        <w:rPr>
          <w:lang w:val="en-GB"/>
        </w:rPr>
        <w:fldChar w:fldCharType="separate"/>
      </w:r>
      <w:r w:rsidRPr="00FB5D9D">
        <w:rPr>
          <w:lang w:val="en-GB"/>
        </w:rPr>
        <w:t>33</w:t>
      </w:r>
      <w:r w:rsidRPr="00FB5D9D">
        <w:rPr>
          <w:lang w:val="en-GB"/>
        </w:rPr>
        <w:fldChar w:fldCharType="end"/>
      </w:r>
      <w:r w:rsidRPr="00FB5D9D">
        <w:rPr>
          <w:lang w:val="en-GB"/>
        </w:rPr>
        <w:t>] carried by Co(II), while the scenery may be more multifaceted when CoTPP–</w:t>
      </w:r>
      <w:r w:rsidRPr="00FB5D9D">
        <w:rPr>
          <w:i/>
          <w:vertAlign w:val="superscript"/>
          <w:lang w:val="en-GB"/>
        </w:rPr>
        <w:t>k</w:t>
      </w:r>
      <w:r w:rsidRPr="00FB5D9D">
        <w:rPr>
          <w:lang w:val="en-GB"/>
        </w:rPr>
        <w:t>L</w:t>
      </w:r>
      <w:r w:rsidRPr="00FB5D9D">
        <w:rPr>
          <w:vertAlign w:val="subscript"/>
          <w:lang w:val="en-GB"/>
        </w:rPr>
        <w:t xml:space="preserve"> </w:t>
      </w:r>
      <w:r w:rsidRPr="00FB5D9D">
        <w:rPr>
          <w:lang w:val="en-GB"/>
        </w:rPr>
        <w:t>adducts (</w:t>
      </w:r>
      <w:r w:rsidRPr="00FB5D9D">
        <w:rPr>
          <w:i/>
          <w:lang w:val="en-GB"/>
        </w:rPr>
        <w:t xml:space="preserve">k </w:t>
      </w:r>
      <w:r w:rsidRPr="00FB5D9D">
        <w:rPr>
          <w:lang w:val="en-GB"/>
        </w:rPr>
        <w:t xml:space="preserve">= 1 and 2) are considered. </w:t>
      </w:r>
    </w:p>
    <w:p w:rsidR="00FB5D9D" w:rsidRPr="00FB5D9D" w:rsidRDefault="00FB5D9D" w:rsidP="00FB5D9D">
      <w:pPr>
        <w:pStyle w:val="MDPI31text"/>
        <w:rPr>
          <w:lang w:val="en-GB"/>
        </w:rPr>
      </w:pPr>
      <w:r w:rsidRPr="00FB5D9D">
        <w:rPr>
          <w:lang w:val="en-GB"/>
        </w:rPr>
        <w:t>Both CO and NH</w:t>
      </w:r>
      <w:r w:rsidRPr="00FB5D9D">
        <w:rPr>
          <w:vertAlign w:val="subscript"/>
          <w:lang w:val="en-GB"/>
        </w:rPr>
        <w:t>3</w:t>
      </w:r>
      <w:r w:rsidRPr="00FB5D9D">
        <w:rPr>
          <w:lang w:val="en-GB"/>
        </w:rPr>
        <w:t xml:space="preserve"> bind CoTPP vertically, C- and N-down oriented [</w:t>
      </w:r>
      <w:r w:rsidRPr="00FB5D9D">
        <w:rPr>
          <w:lang w:val="en-GB"/>
        </w:rPr>
        <w:fldChar w:fldCharType="begin"/>
      </w:r>
      <w:r w:rsidRPr="00FB5D9D">
        <w:rPr>
          <w:lang w:val="en-GB"/>
        </w:rPr>
        <w:instrText>REF _Ref82097156 \r \h</w:instrText>
      </w:r>
      <w:r w:rsidRPr="00FB5D9D">
        <w:rPr>
          <w:lang w:val="en-GB"/>
        </w:rPr>
      </w:r>
      <w:r>
        <w:rPr>
          <w:lang w:val="en-GB"/>
        </w:rPr>
        <w:instrText xml:space="preserve"> \* MERGEFORMAT </w:instrText>
      </w:r>
      <w:r w:rsidRPr="00FB5D9D">
        <w:rPr>
          <w:lang w:val="en-GB"/>
        </w:rPr>
        <w:fldChar w:fldCharType="separate"/>
      </w:r>
      <w:r w:rsidRPr="00FB5D9D">
        <w:rPr>
          <w:lang w:val="en-GB"/>
        </w:rPr>
        <w:t>33</w:t>
      </w:r>
      <w:r w:rsidRPr="00FB5D9D">
        <w:rPr>
          <w:lang w:val="en-GB"/>
        </w:rPr>
        <w:fldChar w:fldCharType="end"/>
      </w:r>
      <w:r w:rsidRPr="00FB5D9D">
        <w:rPr>
          <w:lang w:val="en-GB"/>
        </w:rPr>
        <w:t xml:space="preserve">]; molecular cluster calculations </w:t>
      </w:r>
      <w:r w:rsidRPr="00FB5D9D">
        <w:rPr>
          <w:rFonts w:ascii="Times New Roman" w:hAnsi="Times New Roman"/>
          <w:lang/>
        </w:rPr>
        <w:t>were</w:t>
      </w:r>
      <w:r w:rsidRPr="00FB5D9D">
        <w:rPr>
          <w:lang w:val="en-GB"/>
        </w:rPr>
        <w:t xml:space="preserve"> then carried out by assuming a C</w:t>
      </w:r>
      <w:r w:rsidRPr="00FB5D9D">
        <w:rPr>
          <w:vertAlign w:val="subscript"/>
          <w:lang w:val="en-GB"/>
        </w:rPr>
        <w:t>4v</w:t>
      </w:r>
      <w:r w:rsidRPr="00FB5D9D">
        <w:rPr>
          <w:lang w:val="en-GB"/>
        </w:rPr>
        <w:t xml:space="preserve"> and a C</w:t>
      </w:r>
      <w:r w:rsidRPr="00FB5D9D">
        <w:rPr>
          <w:vertAlign w:val="subscript"/>
          <w:lang w:val="en-GB"/>
        </w:rPr>
        <w:t>s</w:t>
      </w:r>
      <w:r w:rsidRPr="00FB5D9D">
        <w:rPr>
          <w:lang w:val="en-GB"/>
        </w:rPr>
        <w:t xml:space="preserve"> symmetry [</w:t>
      </w:r>
      <w:r w:rsidRPr="00FB5D9D">
        <w:rPr>
          <w:lang w:val="en-GB"/>
        </w:rPr>
        <w:fldChar w:fldCharType="begin"/>
      </w:r>
      <w:r w:rsidRPr="00FB5D9D">
        <w:rPr>
          <w:lang w:val="en-GB"/>
        </w:rPr>
        <w:instrText>REF _Ref82151652 \r \h</w:instrText>
      </w:r>
      <w:r w:rsidRPr="00FB5D9D">
        <w:rPr>
          <w:lang w:val="en-GB"/>
        </w:rPr>
      </w:r>
      <w:r>
        <w:rPr>
          <w:lang w:val="en-GB"/>
        </w:rPr>
        <w:instrText xml:space="preserve"> \* MERGEFORMAT </w:instrText>
      </w:r>
      <w:r w:rsidRPr="00FB5D9D">
        <w:rPr>
          <w:lang w:val="en-GB"/>
        </w:rPr>
        <w:fldChar w:fldCharType="separate"/>
      </w:r>
      <w:r w:rsidRPr="00FB5D9D">
        <w:rPr>
          <w:lang w:val="en-GB"/>
        </w:rPr>
        <w:t>44</w:t>
      </w:r>
      <w:r w:rsidRPr="00FB5D9D">
        <w:rPr>
          <w:lang w:val="en-GB"/>
        </w:rPr>
        <w:fldChar w:fldCharType="end"/>
      </w:r>
      <w:r w:rsidRPr="00FB5D9D">
        <w:rPr>
          <w:lang w:val="en-GB"/>
        </w:rPr>
        <w:t>] for the CoTPP–CO and CoTPP–NH</w:t>
      </w:r>
      <w:r w:rsidRPr="00FB5D9D">
        <w:rPr>
          <w:vertAlign w:val="subscript"/>
          <w:lang w:val="en-GB"/>
        </w:rPr>
        <w:t>3</w:t>
      </w:r>
      <w:r w:rsidRPr="00FB5D9D">
        <w:rPr>
          <w:lang w:val="en-GB"/>
        </w:rPr>
        <w:t xml:space="preserve"> species, respectively (see Tables S10 and S11 of the SM). CoTPP–CO and CoTPP–NH</w:t>
      </w:r>
      <w:r w:rsidRPr="00FB5D9D">
        <w:rPr>
          <w:vertAlign w:val="subscript"/>
          <w:lang w:val="en-GB"/>
        </w:rPr>
        <w:t>3</w:t>
      </w:r>
      <w:r w:rsidRPr="00FB5D9D">
        <w:rPr>
          <w:lang w:val="en-GB"/>
        </w:rPr>
        <w:t xml:space="preserve"> </w:t>
      </w:r>
      <w:r w:rsidRPr="00FB5D9D">
        <w:rPr>
          <w:i/>
          <w:lang w:val="en-GB"/>
        </w:rPr>
        <w:t>BE</w:t>
      </w:r>
      <w:r w:rsidRPr="00FB5D9D">
        <w:rPr>
          <w:lang w:val="en-GB"/>
        </w:rPr>
        <w:t>s, estimated according to eq. 1 are 0.33 and 0.28 eV, respectively and are reported in Table S32 together with the optimized Co–C/N bond lengths (BLs) and the Nalewajski-Mrozek (</w:t>
      </w:r>
      <w:r w:rsidRPr="00FB5D9D">
        <w:rPr>
          <w:vertAlign w:val="superscript"/>
          <w:lang w:val="en-GB"/>
        </w:rPr>
        <w:t>NM</w:t>
      </w:r>
      <w:r w:rsidRPr="00FB5D9D">
        <w:rPr>
          <w:lang w:val="en-GB"/>
        </w:rPr>
        <w:t>I</w:t>
      </w:r>
      <w:r w:rsidRPr="00FB5D9D">
        <w:rPr>
          <w:vertAlign w:val="subscript"/>
          <w:lang w:val="en-GB"/>
        </w:rPr>
        <w:t>Co–C/N</w:t>
      </w:r>
      <w:r w:rsidRPr="00FB5D9D">
        <w:rPr>
          <w:lang w:val="en-GB"/>
        </w:rPr>
        <w:t>) bond multiplicity indexes [</w:t>
      </w:r>
      <w:r w:rsidRPr="00FB5D9D">
        <w:rPr>
          <w:lang w:val="en-GB"/>
        </w:rPr>
        <w:fldChar w:fldCharType="begin"/>
      </w:r>
      <w:r w:rsidRPr="00FB5D9D">
        <w:rPr>
          <w:lang w:val="en-GB"/>
        </w:rPr>
        <w:instrText>REF _Ref82155264 \r \h</w:instrText>
      </w:r>
      <w:r w:rsidRPr="00FB5D9D">
        <w:rPr>
          <w:lang w:val="en-GB"/>
        </w:rPr>
      </w:r>
      <w:r>
        <w:rPr>
          <w:lang w:val="en-GB"/>
        </w:rPr>
        <w:instrText xml:space="preserve"> \* MERGEFORMAT </w:instrText>
      </w:r>
      <w:r w:rsidRPr="00FB5D9D">
        <w:rPr>
          <w:lang w:val="en-GB"/>
        </w:rPr>
        <w:fldChar w:fldCharType="separate"/>
      </w:r>
      <w:r w:rsidRPr="00FB5D9D">
        <w:rPr>
          <w:lang w:val="en-GB"/>
        </w:rPr>
        <w:t>47</w:t>
      </w:r>
      <w:r w:rsidRPr="00FB5D9D">
        <w:rPr>
          <w:lang w:val="en-GB"/>
        </w:rPr>
        <w:fldChar w:fldCharType="end"/>
      </w:r>
      <w:r w:rsidRPr="00FB5D9D">
        <w:rPr>
          <w:lang w:val="en-GB"/>
        </w:rPr>
        <w:t>-</w:t>
      </w:r>
      <w:r w:rsidRPr="00FB5D9D">
        <w:rPr>
          <w:lang w:val="en-GB"/>
        </w:rPr>
        <w:fldChar w:fldCharType="begin"/>
      </w:r>
      <w:r w:rsidRPr="00FB5D9D">
        <w:rPr>
          <w:lang w:val="en-GB"/>
        </w:rPr>
        <w:instrText>REF _Ref82155266 \r \h</w:instrText>
      </w:r>
      <w:r w:rsidRPr="00FB5D9D">
        <w:rPr>
          <w:lang w:val="en-GB"/>
        </w:rPr>
      </w:r>
      <w:r>
        <w:rPr>
          <w:lang w:val="en-GB"/>
        </w:rPr>
        <w:instrText xml:space="preserve"> \* MERGEFORMAT </w:instrText>
      </w:r>
      <w:r w:rsidRPr="00FB5D9D">
        <w:rPr>
          <w:lang w:val="en-GB"/>
        </w:rPr>
        <w:fldChar w:fldCharType="separate"/>
      </w:r>
      <w:r w:rsidRPr="00FB5D9D">
        <w:rPr>
          <w:lang w:val="en-GB"/>
        </w:rPr>
        <w:t>53</w:t>
      </w:r>
      <w:r w:rsidRPr="00FB5D9D">
        <w:rPr>
          <w:lang w:val="en-GB"/>
        </w:rPr>
        <w:fldChar w:fldCharType="end"/>
      </w:r>
      <w:r w:rsidRPr="00FB5D9D">
        <w:rPr>
          <w:lang w:val="en-GB"/>
        </w:rPr>
        <w:t xml:space="preserve">]. In this regard, it can be useful to mention that </w:t>
      </w:r>
      <w:r w:rsidRPr="00FB5D9D">
        <w:rPr>
          <w:rFonts w:ascii="Times New Roman" w:hAnsi="Times New Roman"/>
          <w:lang/>
        </w:rPr>
        <w:t xml:space="preserve">the </w:t>
      </w:r>
      <w:r w:rsidRPr="00FB5D9D">
        <w:rPr>
          <w:lang w:val="en-GB"/>
        </w:rPr>
        <w:t>optimized BL</w:t>
      </w:r>
      <w:r w:rsidRPr="00FB5D9D">
        <w:rPr>
          <w:vertAlign w:val="subscript"/>
          <w:lang w:val="en-GB"/>
        </w:rPr>
        <w:t>C–O</w:t>
      </w:r>
      <w:r w:rsidRPr="00FB5D9D">
        <w:rPr>
          <w:lang w:val="en-GB"/>
        </w:rPr>
        <w:t xml:space="preserve"> passes from 1.139 to 1.157 Å upon moving from the free molecule to the coordinated one, while both the N–H BLs and the H–N–H bond angles (BA) of the coordinated NH</w:t>
      </w:r>
      <w:r w:rsidRPr="00FB5D9D">
        <w:rPr>
          <w:vertAlign w:val="subscript"/>
          <w:lang w:val="en-GB"/>
        </w:rPr>
        <w:t>3</w:t>
      </w:r>
      <w:r w:rsidRPr="00FB5D9D">
        <w:rPr>
          <w:lang w:val="en-GB"/>
        </w:rPr>
        <w:t xml:space="preserve"> are negligibly affected upon coordination.</w:t>
      </w:r>
    </w:p>
    <w:p w:rsidR="00FB5D9D" w:rsidRPr="00FB5D9D" w:rsidRDefault="00FB5D9D" w:rsidP="00FB5D9D">
      <w:pPr>
        <w:pStyle w:val="MDPI31text"/>
        <w:rPr>
          <w:lang w:val="en-GB"/>
        </w:rPr>
      </w:pPr>
      <w:r w:rsidRPr="00FB5D9D">
        <w:rPr>
          <w:lang w:val="en-GB"/>
        </w:rPr>
        <w:t xml:space="preserve">As expected and anticipated, the electronic structure analysis reveals that the </w:t>
      </w:r>
      <w:r w:rsidRPr="00FB5D9D">
        <w:rPr>
          <w:vertAlign w:val="superscript"/>
          <w:lang w:val="en-GB"/>
        </w:rPr>
        <w:t>0</w:t>
      </w:r>
      <w:r w:rsidRPr="00FB5D9D">
        <w:rPr>
          <w:lang w:val="en-GB"/>
        </w:rPr>
        <w:t>L coordination to CoTPP does not determine any relevant charge transfer able to modify the Co</w:t>
      </w:r>
      <w:r w:rsidRPr="00FB5D9D">
        <w:rPr>
          <w:vertAlign w:val="superscript"/>
          <w:lang w:val="en-GB"/>
        </w:rPr>
        <w:t>II</w:t>
      </w:r>
      <w:r w:rsidRPr="00FB5D9D">
        <w:rPr>
          <w:lang w:val="en-GB"/>
        </w:rPr>
        <w:t xml:space="preserve"> oxidation state [</w:t>
      </w:r>
      <w:r w:rsidRPr="00FB5D9D">
        <w:rPr>
          <w:lang w:val="en-GB"/>
        </w:rPr>
        <w:fldChar w:fldCharType="begin"/>
      </w:r>
      <w:r w:rsidRPr="00FB5D9D">
        <w:rPr>
          <w:lang w:val="en-GB"/>
        </w:rPr>
        <w:instrText>REF _Ref82088879 \r \h</w:instrText>
      </w:r>
      <w:r w:rsidRPr="00FB5D9D">
        <w:rPr>
          <w:lang w:val="en-GB"/>
        </w:rPr>
      </w:r>
      <w:r>
        <w:rPr>
          <w:lang w:val="en-GB"/>
        </w:rPr>
        <w:instrText xml:space="preserve"> \* MERGEFORMAT </w:instrText>
      </w:r>
      <w:r w:rsidRPr="00FB5D9D">
        <w:rPr>
          <w:lang w:val="en-GB"/>
        </w:rPr>
        <w:fldChar w:fldCharType="separate"/>
      </w:r>
      <w:r w:rsidRPr="00FB5D9D">
        <w:rPr>
          <w:lang w:val="en-GB"/>
        </w:rPr>
        <w:t>24</w:t>
      </w:r>
      <w:r w:rsidRPr="00FB5D9D">
        <w:rPr>
          <w:lang w:val="en-GB"/>
        </w:rPr>
        <w:fldChar w:fldCharType="end"/>
      </w:r>
      <w:r w:rsidRPr="00FB5D9D">
        <w:rPr>
          <w:lang w:val="en-GB"/>
        </w:rPr>
        <w:t>,</w:t>
      </w:r>
      <w:r w:rsidRPr="00FB5D9D">
        <w:rPr>
          <w:lang w:val="en-GB"/>
        </w:rPr>
        <w:fldChar w:fldCharType="begin"/>
      </w:r>
      <w:r w:rsidRPr="00FB5D9D">
        <w:rPr>
          <w:lang w:val="en-GB"/>
        </w:rPr>
        <w:instrText>REF _Ref82097156 \r \h</w:instrText>
      </w:r>
      <w:r w:rsidRPr="00FB5D9D">
        <w:rPr>
          <w:lang w:val="en-GB"/>
        </w:rPr>
      </w:r>
      <w:r>
        <w:rPr>
          <w:lang w:val="en-GB"/>
        </w:rPr>
        <w:instrText xml:space="preserve"> \* MERGEFORMAT </w:instrText>
      </w:r>
      <w:r w:rsidRPr="00FB5D9D">
        <w:rPr>
          <w:lang w:val="en-GB"/>
        </w:rPr>
        <w:fldChar w:fldCharType="separate"/>
      </w:r>
      <w:r w:rsidRPr="00FB5D9D">
        <w:rPr>
          <w:lang w:val="en-GB"/>
        </w:rPr>
        <w:t>33</w:t>
      </w:r>
      <w:r w:rsidRPr="00FB5D9D">
        <w:rPr>
          <w:lang w:val="en-GB"/>
        </w:rPr>
        <w:fldChar w:fldCharType="end"/>
      </w:r>
      <w:r w:rsidRPr="00FB5D9D">
        <w:rPr>
          <w:lang w:val="en-GB"/>
        </w:rPr>
        <w:t>]</w:t>
      </w:r>
      <w:r w:rsidRPr="00FB5D9D">
        <w:rPr>
          <w:rFonts w:ascii="Times New Roman" w:hAnsi="Times New Roman"/>
          <w:lang/>
        </w:rPr>
        <w:t>.</w:t>
      </w:r>
      <w:r w:rsidRPr="00FB5D9D">
        <w:rPr>
          <w:lang w:val="en-GB"/>
        </w:rPr>
        <w:t xml:space="preserve"> </w:t>
      </w:r>
      <w:r w:rsidRPr="00FB5D9D">
        <w:rPr>
          <w:rFonts w:ascii="Times New Roman" w:hAnsi="Times New Roman"/>
          <w:lang/>
        </w:rPr>
        <w:t>I</w:t>
      </w:r>
      <w:r w:rsidRPr="00FB5D9D">
        <w:rPr>
          <w:lang w:val="en-GB"/>
        </w:rPr>
        <w:t xml:space="preserve">n addition, the spin population analysis confirms that Co maintains its unpaired electron upon coordination, which remains localized on the Co-based 3d AOs (see Figure 2 and Figure S1 of the SM). Even though only two </w:t>
      </w:r>
      <w:r w:rsidRPr="00FB5D9D">
        <w:rPr>
          <w:vertAlign w:val="superscript"/>
          <w:lang w:val="en-GB"/>
        </w:rPr>
        <w:t>0</w:t>
      </w:r>
      <w:r w:rsidRPr="00FB5D9D">
        <w:rPr>
          <w:lang w:val="en-GB"/>
        </w:rPr>
        <w:t xml:space="preserve">L have been herein considered, it </w:t>
      </w:r>
      <w:r w:rsidRPr="00FB5D9D">
        <w:rPr>
          <w:rFonts w:ascii="Times New Roman" w:hAnsi="Times New Roman"/>
          <w:lang/>
        </w:rPr>
        <w:t>appears</w:t>
      </w:r>
      <w:r w:rsidRPr="00FB5D9D">
        <w:rPr>
          <w:lang w:val="en-GB"/>
        </w:rPr>
        <w:t xml:space="preserve"> likely that the </w:t>
      </w:r>
      <w:r w:rsidRPr="00FB5D9D">
        <w:rPr>
          <w:vertAlign w:val="superscript"/>
          <w:lang w:val="en-GB"/>
        </w:rPr>
        <w:t>0</w:t>
      </w:r>
      <w:r w:rsidRPr="00FB5D9D">
        <w:rPr>
          <w:lang w:val="en-GB"/>
        </w:rPr>
        <w:t>L bonding to CoTPP-like and CoPc-like molecules cannot significantly perturb their magnetic properties</w:t>
      </w:r>
      <w:r w:rsidRPr="00FB5D9D">
        <w:rPr>
          <w:rFonts w:ascii="Times New Roman" w:hAnsi="Times New Roman"/>
          <w:lang/>
        </w:rPr>
        <w:t xml:space="preserve"> </w:t>
      </w:r>
      <w:r w:rsidRPr="00FB5D9D">
        <w:rPr>
          <w:lang w:val="en-GB"/>
        </w:rPr>
        <w:t>in general.</w:t>
      </w:r>
    </w:p>
    <w:p w:rsidR="00FB5D9D" w:rsidRPr="00FB5D9D" w:rsidRDefault="00FB5D9D" w:rsidP="00FB5D9D">
      <w:pPr>
        <w:pStyle w:val="MDPI31text"/>
        <w:rPr>
          <w:lang w:val="en-GB"/>
        </w:rPr>
      </w:pPr>
      <w:r w:rsidRPr="00FB5D9D">
        <w:rPr>
          <w:lang w:val="en-GB"/>
        </w:rPr>
        <w:t>Similarly to CoTPP–</w:t>
      </w:r>
      <w:r w:rsidRPr="00FB5D9D">
        <w:rPr>
          <w:vertAlign w:val="superscript"/>
          <w:lang w:val="en-GB"/>
        </w:rPr>
        <w:t>0</w:t>
      </w:r>
      <w:r w:rsidRPr="00FB5D9D">
        <w:rPr>
          <w:lang w:val="en-GB"/>
        </w:rPr>
        <w:t xml:space="preserve">L, the </w:t>
      </w:r>
      <w:r w:rsidRPr="00FB5D9D">
        <w:rPr>
          <w:vertAlign w:val="superscript"/>
          <w:lang w:val="en-GB"/>
        </w:rPr>
        <w:t>1</w:t>
      </w:r>
      <w:r w:rsidRPr="00FB5D9D">
        <w:rPr>
          <w:lang w:val="en-GB"/>
        </w:rPr>
        <w:t>L coordination to CoTPP has been explored by taking advantage of the available experimental evidence [</w:t>
      </w:r>
      <w:r w:rsidRPr="00FB5D9D">
        <w:rPr>
          <w:lang w:val="en-GB"/>
        </w:rPr>
        <w:fldChar w:fldCharType="begin"/>
      </w:r>
      <w:r w:rsidRPr="00FB5D9D">
        <w:rPr>
          <w:lang w:val="en-GB"/>
        </w:rPr>
        <w:instrText>REF _Ref82088372 \r \h</w:instrText>
      </w:r>
      <w:r w:rsidRPr="00FB5D9D">
        <w:rPr>
          <w:lang w:val="en-GB"/>
        </w:rPr>
      </w:r>
      <w:r>
        <w:rPr>
          <w:lang w:val="en-GB"/>
        </w:rPr>
        <w:instrText xml:space="preserve"> \* MERGEFORMAT </w:instrText>
      </w:r>
      <w:r w:rsidRPr="00FB5D9D">
        <w:rPr>
          <w:lang w:val="en-GB"/>
        </w:rPr>
        <w:fldChar w:fldCharType="separate"/>
      </w:r>
      <w:r w:rsidRPr="00FB5D9D">
        <w:rPr>
          <w:lang w:val="en-GB"/>
        </w:rPr>
        <w:t>18</w:t>
      </w:r>
      <w:r w:rsidRPr="00FB5D9D">
        <w:rPr>
          <w:lang w:val="en-GB"/>
        </w:rPr>
        <w:fldChar w:fldCharType="end"/>
      </w:r>
      <w:r w:rsidRPr="00FB5D9D">
        <w:rPr>
          <w:lang w:val="en-GB"/>
        </w:rPr>
        <w:t>]</w:t>
      </w:r>
      <w:r w:rsidRPr="00FB5D9D">
        <w:rPr>
          <w:rFonts w:ascii="Times New Roman" w:hAnsi="Times New Roman"/>
          <w:lang/>
        </w:rPr>
        <w:t>.</w:t>
      </w:r>
      <w:r w:rsidRPr="00FB5D9D">
        <w:rPr>
          <w:lang w:val="en-GB"/>
        </w:rPr>
        <w:t xml:space="preserve"> </w:t>
      </w:r>
      <w:r w:rsidRPr="00FB5D9D">
        <w:rPr>
          <w:rFonts w:ascii="Times New Roman" w:hAnsi="Times New Roman"/>
          <w:lang/>
        </w:rPr>
        <w:t>I</w:t>
      </w:r>
      <w:r w:rsidRPr="00FB5D9D">
        <w:rPr>
          <w:lang w:val="en-GB"/>
        </w:rPr>
        <w:t>n more detail, ADF calculations have been run by assuming a</w:t>
      </w:r>
      <w:r w:rsidRPr="00FB5D9D">
        <w:rPr>
          <w:rFonts w:ascii="Times New Roman" w:hAnsi="Times New Roman"/>
          <w:lang/>
        </w:rPr>
        <w:t>n</w:t>
      </w:r>
      <w:r w:rsidRPr="00FB5D9D">
        <w:rPr>
          <w:lang w:val="en-GB"/>
        </w:rPr>
        <w:t xml:space="preserve"> N-down orientation for both </w:t>
      </w:r>
      <w:r w:rsidRPr="00FB5D9D">
        <w:rPr>
          <w:vertAlign w:val="superscript"/>
          <w:lang w:val="en-GB"/>
        </w:rPr>
        <w:t>1</w:t>
      </w:r>
      <w:r w:rsidRPr="00FB5D9D">
        <w:rPr>
          <w:lang w:val="en-GB"/>
        </w:rPr>
        <w:t>L and by adopting a C</w:t>
      </w:r>
      <w:r w:rsidRPr="00FB5D9D">
        <w:rPr>
          <w:vertAlign w:val="subscript"/>
          <w:lang w:val="en-GB"/>
        </w:rPr>
        <w:t>s</w:t>
      </w:r>
      <w:r w:rsidRPr="00FB5D9D">
        <w:rPr>
          <w:lang w:val="en-GB"/>
        </w:rPr>
        <w:t xml:space="preserve"> and a C</w:t>
      </w:r>
      <w:r w:rsidRPr="00FB5D9D">
        <w:rPr>
          <w:vertAlign w:val="subscript"/>
          <w:lang w:val="en-GB"/>
        </w:rPr>
        <w:t>2v</w:t>
      </w:r>
      <w:r w:rsidRPr="00FB5D9D">
        <w:rPr>
          <w:lang w:val="en-GB"/>
        </w:rPr>
        <w:t xml:space="preserve"> symmetry [</w:t>
      </w:r>
      <w:r w:rsidRPr="00FB5D9D">
        <w:rPr>
          <w:lang w:val="en-GB"/>
        </w:rPr>
        <w:fldChar w:fldCharType="begin"/>
      </w:r>
      <w:r w:rsidRPr="00FB5D9D">
        <w:rPr>
          <w:lang w:val="en-GB"/>
        </w:rPr>
        <w:instrText>REF _Ref82158375 \r \h</w:instrText>
      </w:r>
      <w:r w:rsidRPr="00FB5D9D">
        <w:rPr>
          <w:lang w:val="en-GB"/>
        </w:rPr>
      </w:r>
      <w:r>
        <w:rPr>
          <w:lang w:val="en-GB"/>
        </w:rPr>
        <w:instrText xml:space="preserve"> \* MERGEFORMAT </w:instrText>
      </w:r>
      <w:r w:rsidRPr="00FB5D9D">
        <w:rPr>
          <w:lang w:val="en-GB"/>
        </w:rPr>
        <w:fldChar w:fldCharType="separate"/>
      </w:r>
      <w:r w:rsidRPr="00FB5D9D">
        <w:rPr>
          <w:lang w:val="en-GB"/>
        </w:rPr>
        <w:t>44</w:t>
      </w:r>
      <w:r w:rsidRPr="00FB5D9D">
        <w:rPr>
          <w:lang w:val="en-GB"/>
        </w:rPr>
        <w:fldChar w:fldCharType="end"/>
      </w:r>
      <w:r w:rsidRPr="00FB5D9D">
        <w:rPr>
          <w:lang w:val="en-GB"/>
        </w:rPr>
        <w:t>] for the CoTPP–NO and CoTPP–NO</w:t>
      </w:r>
      <w:r w:rsidRPr="00FB5D9D">
        <w:rPr>
          <w:vertAlign w:val="subscript"/>
          <w:lang w:val="en-GB"/>
        </w:rPr>
        <w:t>2</w:t>
      </w:r>
      <w:r w:rsidRPr="00FB5D9D">
        <w:rPr>
          <w:lang w:val="en-GB"/>
        </w:rPr>
        <w:t xml:space="preserve"> adducts, respectively (the </w:t>
      </w:r>
      <w:r w:rsidRPr="00FB5D9D">
        <w:rPr>
          <w:rFonts w:ascii="Times New Roman" w:hAnsi="Times New Roman"/>
          <w:lang/>
        </w:rPr>
        <w:t xml:space="preserve">oxygen </w:t>
      </w:r>
      <w:r w:rsidRPr="00FB5D9D">
        <w:rPr>
          <w:lang w:val="en-GB"/>
        </w:rPr>
        <w:t>atoms</w:t>
      </w:r>
      <w:r w:rsidRPr="00FB5D9D">
        <w:rPr>
          <w:rFonts w:ascii="Times New Roman" w:hAnsi="Times New Roman"/>
          <w:lang/>
        </w:rPr>
        <w:t xml:space="preserve"> of NO and NO</w:t>
      </w:r>
      <w:r w:rsidRPr="00FB5D9D">
        <w:rPr>
          <w:rFonts w:ascii="Times New Roman" w:hAnsi="Times New Roman"/>
          <w:vertAlign w:val="subscript"/>
          <w:lang/>
        </w:rPr>
        <w:t>2</w:t>
      </w:r>
      <w:r w:rsidRPr="00FB5D9D">
        <w:rPr>
          <w:lang w:val="en-GB"/>
        </w:rPr>
        <w:t xml:space="preserve"> point toward the meso C atoms of the macrocycle). Optimized geometries (see Tables S12 and S13 of the SM) and </w:t>
      </w:r>
      <w:r w:rsidRPr="00FB5D9D">
        <w:rPr>
          <w:i/>
          <w:lang w:val="en-GB"/>
        </w:rPr>
        <w:t>BE</w:t>
      </w:r>
      <w:r w:rsidRPr="00FB5D9D">
        <w:rPr>
          <w:lang w:val="en-GB"/>
        </w:rPr>
        <w:t xml:space="preserve">s have been evaluated for both LS (no unpaired electron) and high spin (HS, two unpaired electrons) states. </w:t>
      </w:r>
    </w:p>
    <w:p w:rsidR="00FB5D9D" w:rsidRPr="00FB5D9D" w:rsidRDefault="00FB5D9D" w:rsidP="00FB5D9D">
      <w:pPr>
        <w:pStyle w:val="MDPI31text"/>
        <w:rPr>
          <w:lang w:val="en-GB"/>
        </w:rPr>
      </w:pPr>
      <w:r w:rsidRPr="00FB5D9D">
        <w:rPr>
          <w:lang w:val="en-GB"/>
        </w:rPr>
        <w:t xml:space="preserve">Starting from CoTPP–NO, its diamagnetic state (the LS state is found </w:t>
      </w:r>
      <w:r w:rsidRPr="00FB5D9D">
        <w:rPr>
          <w:rFonts w:ascii="Times New Roman" w:hAnsi="Times New Roman"/>
          <w:lang/>
        </w:rPr>
        <w:t xml:space="preserve">to be </w:t>
      </w:r>
      <w:r w:rsidRPr="00FB5D9D">
        <w:rPr>
          <w:lang w:val="en-GB"/>
        </w:rPr>
        <w:t xml:space="preserve">1.05 eV more stable than the HS </w:t>
      </w:r>
      <w:r w:rsidRPr="00FB5D9D">
        <w:rPr>
          <w:rFonts w:ascii="Times New Roman" w:hAnsi="Times New Roman"/>
          <w:lang/>
        </w:rPr>
        <w:t>state</w:t>
      </w:r>
      <w:r w:rsidRPr="00FB5D9D">
        <w:rPr>
          <w:lang w:val="en-GB"/>
        </w:rPr>
        <w:t xml:space="preserve"> ) and the peculiar geometry of the [CoNO]</w:t>
      </w:r>
      <w:r w:rsidRPr="00FB5D9D">
        <w:rPr>
          <w:vertAlign w:val="superscript"/>
          <w:lang w:val="en-GB"/>
        </w:rPr>
        <w:t>8</w:t>
      </w:r>
      <w:r w:rsidRPr="00FB5D9D">
        <w:rPr>
          <w:lang w:val="en-GB"/>
        </w:rPr>
        <w:t xml:space="preserve"> fragment (the superscript 8 indicates the total number of electrons mostly localized on the Co 3d and the NO </w:t>
      </w:r>
      <w:r w:rsidRPr="00FB5D9D">
        <w:rPr>
          <w:rFonts w:ascii="Symbol" w:eastAsia="Symbol" w:hAnsi="Symbol" w:cs="Symbol"/>
          <w:lang w:val="en-GB"/>
        </w:rPr>
        <w:t></w:t>
      </w:r>
      <w:r w:rsidRPr="00FB5D9D">
        <w:rPr>
          <w:vertAlign w:val="superscript"/>
          <w:lang w:val="en-GB"/>
        </w:rPr>
        <w:t>*</w:t>
      </w:r>
      <w:r w:rsidRPr="00FB5D9D">
        <w:rPr>
          <w:lang w:val="en-GB"/>
        </w:rPr>
        <w:t xml:space="preserve"> orbitals) closely resemble the spin state and the crystal structure of the [Co(NO)(Salen)] adduct (Salen = </w:t>
      </w:r>
      <w:hyperlink r:id="rId10">
        <w:r w:rsidRPr="00FB5D9D">
          <w:rPr>
            <w:lang w:val="en-GB"/>
          </w:rPr>
          <w:t>N,N′-bis(salicylidene)ethylenediamine</w:t>
        </w:r>
      </w:hyperlink>
      <w:r w:rsidRPr="00FB5D9D">
        <w:rPr>
          <w:lang w:val="en-GB"/>
        </w:rPr>
        <w:t>) [</w:t>
      </w:r>
      <w:r w:rsidRPr="00FB5D9D">
        <w:rPr>
          <w:lang w:val="en-GB"/>
        </w:rPr>
        <w:fldChar w:fldCharType="begin"/>
      </w:r>
      <w:r w:rsidRPr="00FB5D9D">
        <w:rPr>
          <w:lang w:val="en-GB"/>
        </w:rPr>
        <w:instrText>REF _Ref82159255 \r \h</w:instrText>
      </w:r>
      <w:r w:rsidRPr="00FB5D9D">
        <w:rPr>
          <w:lang w:val="en-GB"/>
        </w:rPr>
      </w:r>
      <w:r>
        <w:rPr>
          <w:lang w:val="en-GB"/>
        </w:rPr>
        <w:instrText xml:space="preserve"> \* MERGEFORMAT </w:instrText>
      </w:r>
      <w:r w:rsidRPr="00FB5D9D">
        <w:rPr>
          <w:lang w:val="en-GB"/>
        </w:rPr>
        <w:fldChar w:fldCharType="separate"/>
      </w:r>
      <w:r w:rsidRPr="00FB5D9D">
        <w:rPr>
          <w:lang w:val="en-GB"/>
        </w:rPr>
        <w:t>54</w:t>
      </w:r>
      <w:r w:rsidRPr="00FB5D9D">
        <w:rPr>
          <w:lang w:val="en-GB"/>
        </w:rPr>
        <w:fldChar w:fldCharType="end"/>
      </w:r>
      <w:r w:rsidRPr="00FB5D9D">
        <w:rPr>
          <w:lang w:val="en-GB"/>
        </w:rPr>
        <w:t xml:space="preserve">]. More specifically, the </w:t>
      </w:r>
      <m:oMath>
        <m:r>
          <m:rPr>
            <m:sty m:val="p"/>
          </m:rPr>
          <w:rPr>
            <w:rFonts w:ascii="Cambria Math" w:hAnsi="Cambria Math"/>
          </w:rPr>
          <m:t>Co–</m:t>
        </m:r>
        <m:acc>
          <m:accPr>
            <m:chr m:val="^"/>
            <m:ctrlPr>
              <w:rPr>
                <w:rFonts w:ascii="Cambria Math" w:hAnsi="Cambria Math"/>
              </w:rPr>
            </m:ctrlPr>
          </m:accPr>
          <m:e>
            <m:r>
              <m:rPr>
                <m:sty m:val="p"/>
              </m:rPr>
              <w:rPr>
                <w:rFonts w:ascii="Cambria Math" w:hAnsi="Cambria Math"/>
              </w:rPr>
              <m:t>N</m:t>
            </m:r>
          </m:e>
        </m:acc>
        <m:r>
          <m:rPr>
            <m:sty m:val="p"/>
          </m:rPr>
          <w:rPr>
            <w:rFonts w:ascii="Cambria Math" w:hAnsi="Cambria Math"/>
          </w:rPr>
          <m:t>–O</m:t>
        </m:r>
      </m:oMath>
      <w:r w:rsidRPr="00FB5D9D">
        <w:rPr>
          <w:lang w:val="en-GB"/>
        </w:rPr>
        <w:t xml:space="preserve"> BA is far from being linear both in CoTPP–NO (122.5°, see Table S33 of the SM) and in [Co(NO)(salen)] (127.0° [</w:t>
      </w:r>
      <w:r w:rsidRPr="00FB5D9D">
        <w:rPr>
          <w:lang w:val="en-GB"/>
        </w:rPr>
        <w:fldChar w:fldCharType="begin"/>
      </w:r>
      <w:r w:rsidRPr="00FB5D9D">
        <w:rPr>
          <w:lang w:val="en-GB"/>
        </w:rPr>
        <w:instrText>REF _Ref82159255 \r \h</w:instrText>
      </w:r>
      <w:r w:rsidRPr="00FB5D9D">
        <w:rPr>
          <w:lang w:val="en-GB"/>
        </w:rPr>
      </w:r>
      <w:r>
        <w:rPr>
          <w:lang w:val="en-GB"/>
        </w:rPr>
        <w:instrText xml:space="preserve"> \* MERGEFORMAT </w:instrText>
      </w:r>
      <w:r w:rsidRPr="00FB5D9D">
        <w:rPr>
          <w:lang w:val="en-GB"/>
        </w:rPr>
        <w:fldChar w:fldCharType="separate"/>
      </w:r>
      <w:r w:rsidRPr="00FB5D9D">
        <w:rPr>
          <w:lang w:val="en-GB"/>
        </w:rPr>
        <w:t>54</w:t>
      </w:r>
      <w:r w:rsidRPr="00FB5D9D">
        <w:rPr>
          <w:lang w:val="en-GB"/>
        </w:rPr>
        <w:fldChar w:fldCharType="end"/>
      </w:r>
      <w:r w:rsidRPr="00FB5D9D">
        <w:rPr>
          <w:lang w:val="en-GB"/>
        </w:rPr>
        <w:t xml:space="preserve">]), the Co–N BLs are </w:t>
      </w:r>
      <w:r w:rsidRPr="00FB5D9D">
        <w:rPr>
          <w:rFonts w:ascii="Times New Roman" w:hAnsi="Times New Roman"/>
          <w:lang/>
        </w:rPr>
        <w:t>nearly identical</w:t>
      </w:r>
      <w:r w:rsidRPr="00FB5D9D">
        <w:rPr>
          <w:lang w:val="en-GB"/>
        </w:rPr>
        <w:t xml:space="preserve"> (1.805 Å in CoTPP–NO, see Table S33 of the SM, and 1.807 Å in [Co(NO)(salen)] [</w:t>
      </w:r>
      <w:r w:rsidRPr="00FB5D9D">
        <w:rPr>
          <w:lang w:val="en-GB"/>
        </w:rPr>
        <w:fldChar w:fldCharType="begin"/>
      </w:r>
      <w:r w:rsidRPr="00FB5D9D">
        <w:rPr>
          <w:lang w:val="en-GB"/>
        </w:rPr>
        <w:instrText>REF _Ref82159255 \r \h</w:instrText>
      </w:r>
      <w:r w:rsidRPr="00FB5D9D">
        <w:rPr>
          <w:lang w:val="en-GB"/>
        </w:rPr>
      </w:r>
      <w:r>
        <w:rPr>
          <w:lang w:val="en-GB"/>
        </w:rPr>
        <w:instrText xml:space="preserve"> \* MERGEFORMAT </w:instrText>
      </w:r>
      <w:r w:rsidRPr="00FB5D9D">
        <w:rPr>
          <w:lang w:val="en-GB"/>
        </w:rPr>
        <w:fldChar w:fldCharType="separate"/>
      </w:r>
      <w:r w:rsidRPr="00FB5D9D">
        <w:rPr>
          <w:lang w:val="en-GB"/>
        </w:rPr>
        <w:t>54</w:t>
      </w:r>
      <w:r w:rsidRPr="00FB5D9D">
        <w:rPr>
          <w:lang w:val="en-GB"/>
        </w:rPr>
        <w:fldChar w:fldCharType="end"/>
      </w:r>
      <w:r w:rsidRPr="00FB5D9D">
        <w:rPr>
          <w:lang w:val="en-GB"/>
        </w:rPr>
        <w:t>]), and the Co</w:t>
      </w:r>
      <w:r w:rsidRPr="00FB5D9D">
        <w:rPr>
          <w:vertAlign w:val="superscript"/>
          <w:lang w:val="en-GB"/>
        </w:rPr>
        <w:t>II</w:t>
      </w:r>
      <w:r w:rsidRPr="00FB5D9D">
        <w:rPr>
          <w:lang w:val="en-GB"/>
        </w:rPr>
        <w:t xml:space="preserve"> species lies significantly above the plane passing through the donor atoms of the four-fold coordinative pocket (0.19 Å in CoTPP–NO and 0.25 Å in [Co(NO)(salen)] [</w:t>
      </w:r>
      <w:r w:rsidRPr="00FB5D9D">
        <w:rPr>
          <w:lang w:val="en-GB"/>
        </w:rPr>
        <w:fldChar w:fldCharType="begin"/>
      </w:r>
      <w:r w:rsidRPr="00FB5D9D">
        <w:rPr>
          <w:lang w:val="en-GB"/>
        </w:rPr>
        <w:instrText>REF _Ref82159255 \r \h</w:instrText>
      </w:r>
      <w:r w:rsidRPr="00FB5D9D">
        <w:rPr>
          <w:lang w:val="en-GB"/>
        </w:rPr>
      </w:r>
      <w:r>
        <w:rPr>
          <w:lang w:val="en-GB"/>
        </w:rPr>
        <w:instrText xml:space="preserve"> \* MERGEFORMAT </w:instrText>
      </w:r>
      <w:r w:rsidRPr="00FB5D9D">
        <w:rPr>
          <w:lang w:val="en-GB"/>
        </w:rPr>
        <w:fldChar w:fldCharType="separate"/>
      </w:r>
      <w:r w:rsidRPr="00FB5D9D">
        <w:rPr>
          <w:lang w:val="en-GB"/>
        </w:rPr>
        <w:t>54</w:t>
      </w:r>
      <w:r w:rsidRPr="00FB5D9D">
        <w:rPr>
          <w:lang w:val="en-GB"/>
        </w:rPr>
        <w:fldChar w:fldCharType="end"/>
      </w:r>
      <w:r w:rsidRPr="00FB5D9D">
        <w:rPr>
          <w:lang w:val="en-GB"/>
        </w:rPr>
        <w:t>]). Incidentally, the CoTPP–NO highest occupied MO (the 76a' HOMO) is strongly localized on the {CoNO}</w:t>
      </w:r>
      <w:r w:rsidRPr="00FB5D9D">
        <w:rPr>
          <w:vertAlign w:val="superscript"/>
          <w:lang w:val="en-GB"/>
        </w:rPr>
        <w:t>8</w:t>
      </w:r>
      <w:r w:rsidRPr="00FB5D9D">
        <w:rPr>
          <w:lang w:val="en-GB"/>
        </w:rPr>
        <w:t xml:space="preserve"> fragment (66%)</w:t>
      </w:r>
      <w:r w:rsidRPr="00FB5D9D">
        <w:rPr>
          <w:rFonts w:ascii="Times New Roman" w:hAnsi="Times New Roman"/>
          <w:lang/>
        </w:rPr>
        <w:t>,</w:t>
      </w:r>
      <w:r w:rsidRPr="00FB5D9D">
        <w:rPr>
          <w:lang w:val="en-GB"/>
        </w:rPr>
        <w:t xml:space="preserve"> and it accounts for a bonding interaction, </w:t>
      </w:r>
      <w:r w:rsidRPr="00FB5D9D">
        <w:rPr>
          <w:rFonts w:ascii="Symbol" w:eastAsia="Symbol" w:hAnsi="Symbol" w:cs="Symbol"/>
          <w:lang w:val="en-GB"/>
        </w:rPr>
        <w:t></w:t>
      </w:r>
      <w:r w:rsidRPr="00FB5D9D">
        <w:rPr>
          <w:lang w:val="en-GB"/>
        </w:rPr>
        <w:t xml:space="preserve"> in character (see Figure S2 of the SM), between the </w:t>
      </w:r>
      <w:r w:rsidRPr="00FB5D9D">
        <w:rPr>
          <w:vertAlign w:val="superscript"/>
          <w:lang w:val="en-GB"/>
        </w:rPr>
        <w:t>NO</w:t>
      </w:r>
      <w:r w:rsidRPr="00FB5D9D">
        <w:rPr>
          <w:rFonts w:ascii="Symbol" w:eastAsia="Symbol" w:hAnsi="Symbol" w:cs="Symbol"/>
          <w:lang w:val="en-GB"/>
        </w:rPr>
        <w:t></w:t>
      </w:r>
      <w:r w:rsidRPr="00FB5D9D">
        <w:rPr>
          <w:vertAlign w:val="superscript"/>
          <w:lang w:val="en-GB"/>
        </w:rPr>
        <w:t>*</w:t>
      </w:r>
      <w:r w:rsidRPr="00FB5D9D">
        <w:rPr>
          <w:rFonts w:ascii="Times New Roman" w:hAnsi="Times New Roman"/>
          <w:vertAlign w:val="subscript"/>
          <w:lang w:val="en-GB"/>
        </w:rPr>
        <w:t>||</w:t>
      </w:r>
      <w:r w:rsidRPr="00FB5D9D">
        <w:rPr>
          <w:lang w:val="en-GB"/>
        </w:rPr>
        <w:t xml:space="preserve"> MO and the Co 3d-based AOs lying in the C</w:t>
      </w:r>
      <w:r w:rsidRPr="00FB5D9D">
        <w:rPr>
          <w:vertAlign w:val="subscript"/>
          <w:lang w:val="en-GB"/>
        </w:rPr>
        <w:t>s</w:t>
      </w:r>
      <w:r w:rsidRPr="00FB5D9D">
        <w:rPr>
          <w:lang w:val="en-GB"/>
        </w:rPr>
        <w:t xml:space="preserve"> symmetry plane, while the 51a" lowest unoccupied MO (LUMO) is reminiscent of the </w:t>
      </w:r>
      <w:r w:rsidRPr="00FB5D9D">
        <w:rPr>
          <w:vertAlign w:val="superscript"/>
          <w:lang w:val="en-GB"/>
        </w:rPr>
        <w:t>NO</w:t>
      </w:r>
      <w:r w:rsidRPr="00FB5D9D">
        <w:rPr>
          <w:rFonts w:ascii="Symbol" w:eastAsia="Symbol" w:hAnsi="Symbol" w:cs="Symbol"/>
          <w:lang w:val="en-GB"/>
        </w:rPr>
        <w:t></w:t>
      </w:r>
      <w:r w:rsidRPr="00FB5D9D">
        <w:rPr>
          <w:vertAlign w:val="superscript"/>
          <w:lang w:val="en-GB"/>
        </w:rPr>
        <w:t>*</w:t>
      </w:r>
      <w:r w:rsidRPr="00FB5D9D">
        <w:rPr>
          <w:rFonts w:ascii="Symbol" w:eastAsia="Symbol" w:hAnsi="Symbol" w:cs="Symbol"/>
          <w:vertAlign w:val="subscript"/>
          <w:lang w:val="en-GB"/>
        </w:rPr>
        <w:t></w:t>
      </w:r>
      <w:r w:rsidRPr="00FB5D9D">
        <w:rPr>
          <w:lang w:val="en-GB"/>
        </w:rPr>
        <w:t xml:space="preserve"> MO (see Figure S2 of the SM). </w:t>
      </w:r>
    </w:p>
    <w:p w:rsidR="00FB5D9D" w:rsidRPr="00FB5D9D" w:rsidRDefault="00FB5D9D" w:rsidP="00FB5D9D">
      <w:pPr>
        <w:pStyle w:val="MDPI31text"/>
        <w:rPr>
          <w:lang w:val="en-GB"/>
        </w:rPr>
      </w:pPr>
    </w:p>
    <w:p w:rsidR="00FB5D9D" w:rsidRPr="00FB5D9D" w:rsidRDefault="00FB5D9D" w:rsidP="00FB5D9D">
      <w:pPr>
        <w:pStyle w:val="MDPI21heading1"/>
        <w:jc w:val="center"/>
        <w:rPr>
          <w:bCs/>
          <w:sz w:val="16"/>
          <w:szCs w:val="16"/>
          <w:lang w:val="en-GB"/>
        </w:rPr>
      </w:pPr>
      <w:r w:rsidRPr="00FB5D9D">
        <w:rPr>
          <w:bCs/>
          <w:noProof/>
          <w:sz w:val="16"/>
          <w:szCs w:val="16"/>
          <w:lang w:eastAsia="en-US" w:bidi="ar-SA"/>
        </w:rPr>
        <w:lastRenderedPageBreak/>
        <w:drawing>
          <wp:inline distT="0" distB="0" distL="0" distR="0" wp14:anchorId="0645F7D2" wp14:editId="4540F8BF">
            <wp:extent cx="3442658" cy="4422465"/>
            <wp:effectExtent l="0" t="0" r="571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0537" cy="4432586"/>
                    </a:xfrm>
                    <a:prstGeom prst="rect">
                      <a:avLst/>
                    </a:prstGeom>
                    <a:noFill/>
                    <a:ln>
                      <a:noFill/>
                    </a:ln>
                  </pic:spPr>
                </pic:pic>
              </a:graphicData>
            </a:graphic>
          </wp:inline>
        </w:drawing>
      </w:r>
    </w:p>
    <w:p w:rsidR="00FB5D9D" w:rsidRPr="00FB5D9D" w:rsidRDefault="00FB5D9D" w:rsidP="00FB5D9D">
      <w:pPr>
        <w:pStyle w:val="MDPI21heading1"/>
        <w:jc w:val="both"/>
        <w:rPr>
          <w:bCs/>
          <w:sz w:val="16"/>
          <w:szCs w:val="16"/>
          <w:lang w:val="en-GB"/>
        </w:rPr>
      </w:pPr>
      <w:r w:rsidRPr="00FB5D9D">
        <w:rPr>
          <w:bCs/>
          <w:sz w:val="16"/>
          <w:szCs w:val="16"/>
          <w:lang w:val="en-GB"/>
        </w:rPr>
        <w:t xml:space="preserve">Figure 2. </w:t>
      </w:r>
      <w:r w:rsidRPr="00FB5D9D">
        <w:rPr>
          <w:b w:val="0"/>
          <w:bCs/>
          <w:sz w:val="16"/>
          <w:szCs w:val="16"/>
          <w:lang w:val="en-GB"/>
        </w:rPr>
        <w:t xml:space="preserve">Energy level diagrams </w:t>
      </w:r>
      <w:r w:rsidRPr="00FB5D9D">
        <w:rPr>
          <w:rFonts w:ascii="Times New Roman" w:hAnsi="Times New Roman"/>
          <w:b w:val="0"/>
          <w:bCs/>
          <w:sz w:val="16"/>
          <w:szCs w:val="16"/>
          <w:lang/>
        </w:rPr>
        <w:t>of</w:t>
      </w:r>
      <w:r w:rsidRPr="00FB5D9D">
        <w:rPr>
          <w:b w:val="0"/>
          <w:bCs/>
          <w:sz w:val="16"/>
          <w:szCs w:val="16"/>
          <w:lang w:val="en-GB"/>
        </w:rPr>
        <w:t xml:space="preserve"> selected MOs for (A) CoTPP-CO, B) CoTPP-NH</w:t>
      </w:r>
      <w:r w:rsidRPr="00FB5D9D">
        <w:rPr>
          <w:b w:val="0"/>
          <w:bCs/>
          <w:sz w:val="16"/>
          <w:szCs w:val="16"/>
          <w:vertAlign w:val="subscript"/>
          <w:lang w:val="en-GB"/>
        </w:rPr>
        <w:t>3</w:t>
      </w:r>
      <w:r w:rsidRPr="00FB5D9D">
        <w:rPr>
          <w:b w:val="0"/>
          <w:bCs/>
          <w:sz w:val="16"/>
          <w:szCs w:val="16"/>
          <w:lang w:val="en-GB"/>
        </w:rPr>
        <w:t>, C) CoTPP-NO, D) CoTPP-NO</w:t>
      </w:r>
      <w:r w:rsidRPr="00FB5D9D">
        <w:rPr>
          <w:b w:val="0"/>
          <w:bCs/>
          <w:sz w:val="16"/>
          <w:szCs w:val="16"/>
          <w:vertAlign w:val="subscript"/>
          <w:lang w:val="en-GB"/>
        </w:rPr>
        <w:t>2</w:t>
      </w:r>
      <w:r w:rsidRPr="00FB5D9D">
        <w:rPr>
          <w:b w:val="0"/>
          <w:bCs/>
          <w:sz w:val="16"/>
          <w:szCs w:val="16"/>
          <w:lang w:val="en-GB"/>
        </w:rPr>
        <w:t xml:space="preserve"> and E) CoTPP-O</w:t>
      </w:r>
      <w:r w:rsidRPr="00FB5D9D">
        <w:rPr>
          <w:b w:val="0"/>
          <w:bCs/>
          <w:sz w:val="16"/>
          <w:szCs w:val="16"/>
          <w:vertAlign w:val="subscript"/>
          <w:lang w:val="en-GB"/>
        </w:rPr>
        <w:t>2</w:t>
      </w:r>
      <w:r w:rsidRPr="00FB5D9D">
        <w:rPr>
          <w:b w:val="0"/>
          <w:bCs/>
          <w:sz w:val="16"/>
          <w:szCs w:val="16"/>
          <w:lang w:val="en-GB"/>
        </w:rPr>
        <w:t xml:space="preserve">. Displayed isosurfaces correspond to ± 0.03 </w:t>
      </w:r>
      <w:r w:rsidRPr="00FB5D9D">
        <w:rPr>
          <w:b w:val="0"/>
          <w:bCs/>
          <w:i/>
          <w:sz w:val="16"/>
          <w:szCs w:val="16"/>
          <w:lang w:val="en-GB"/>
        </w:rPr>
        <w:t>e</w:t>
      </w:r>
      <w:r w:rsidRPr="00FB5D9D">
        <w:rPr>
          <w:b w:val="0"/>
          <w:bCs/>
          <w:sz w:val="16"/>
          <w:szCs w:val="16"/>
          <w:vertAlign w:val="superscript"/>
          <w:lang w:val="en-GB"/>
        </w:rPr>
        <w:t>1/2</w:t>
      </w:r>
      <w:r w:rsidRPr="00FB5D9D">
        <w:rPr>
          <w:b w:val="0"/>
          <w:sz w:val="16"/>
          <w:szCs w:val="16"/>
          <w:lang w:val="en-GB"/>
        </w:rPr>
        <w:t xml:space="preserve"> </w:t>
      </w:r>
      <w:r w:rsidRPr="00FB5D9D">
        <w:rPr>
          <w:rFonts w:ascii="Symbol" w:eastAsia="Symbol" w:hAnsi="Symbol" w:cs="Symbol"/>
          <w:b w:val="0"/>
          <w:sz w:val="16"/>
          <w:szCs w:val="16"/>
          <w:lang w:val="en-GB"/>
        </w:rPr>
        <w:t></w:t>
      </w:r>
      <w:r w:rsidRPr="00FB5D9D">
        <w:rPr>
          <w:b w:val="0"/>
          <w:sz w:val="16"/>
          <w:szCs w:val="16"/>
          <w:lang w:val="en-GB"/>
        </w:rPr>
        <w:t xml:space="preserve"> A</w:t>
      </w:r>
      <w:r w:rsidRPr="00FB5D9D">
        <w:rPr>
          <w:b w:val="0"/>
          <w:sz w:val="16"/>
          <w:szCs w:val="16"/>
          <w:vertAlign w:val="superscript"/>
          <w:lang w:val="en-GB"/>
        </w:rPr>
        <w:t>-3/2</w:t>
      </w:r>
      <w:r w:rsidRPr="00FB5D9D">
        <w:rPr>
          <w:b w:val="0"/>
          <w:bCs/>
          <w:sz w:val="16"/>
          <w:szCs w:val="16"/>
          <w:lang w:val="en-GB"/>
        </w:rPr>
        <w:t xml:space="preserve">. F) Scheme of the “switch off” behaviour upon the L coordination to CoTPP. Vertical dots indicate that some levels, mainly localized on TPP fragment, are omitted. </w:t>
      </w:r>
      <w:r w:rsidRPr="00FB5D9D">
        <w:rPr>
          <w:b w:val="0"/>
          <w:sz w:val="16"/>
          <w:szCs w:val="16"/>
          <w:lang w:val="en-GB"/>
        </w:rPr>
        <w:t xml:space="preserve">Colour codes are the same adopted in </w:t>
      </w:r>
      <w:r w:rsidRPr="00FB5D9D">
        <w:rPr>
          <w:sz w:val="16"/>
          <w:szCs w:val="16"/>
          <w:lang w:val="en-GB"/>
        </w:rPr>
        <w:t>Scheme 1</w:t>
      </w:r>
      <w:r w:rsidRPr="00FB5D9D">
        <w:rPr>
          <w:b w:val="0"/>
          <w:sz w:val="16"/>
          <w:szCs w:val="16"/>
          <w:lang w:val="en-GB"/>
        </w:rPr>
        <w:t>.</w:t>
      </w:r>
    </w:p>
    <w:p w:rsidR="00FB5D9D" w:rsidRPr="00FB5D9D" w:rsidRDefault="00FB5D9D" w:rsidP="00FB5D9D">
      <w:pPr>
        <w:pStyle w:val="MDPI31text"/>
        <w:ind w:firstLine="0"/>
        <w:rPr>
          <w:lang w:val="en-GB"/>
        </w:rPr>
      </w:pPr>
    </w:p>
    <w:p w:rsidR="00FB5D9D" w:rsidRPr="00FB5D9D" w:rsidRDefault="00FB5D9D" w:rsidP="00FB5D9D">
      <w:pPr>
        <w:pStyle w:val="MDPI31text"/>
        <w:rPr>
          <w:lang w:val="en-GB"/>
        </w:rPr>
      </w:pPr>
      <w:r w:rsidRPr="00FB5D9D">
        <w:rPr>
          <w:lang w:val="en-GB"/>
        </w:rPr>
        <w:t>Despite all these similarities, the different behaviour of the {CoNO}</w:t>
      </w:r>
      <w:r w:rsidRPr="00FB5D9D">
        <w:rPr>
          <w:vertAlign w:val="superscript"/>
          <w:lang w:val="en-GB"/>
        </w:rPr>
        <w:t>8</w:t>
      </w:r>
      <w:r w:rsidRPr="00FB5D9D">
        <w:rPr>
          <w:lang w:val="en-GB"/>
        </w:rPr>
        <w:t xml:space="preserve"> N–O BL upon moving from the free molecule to the coordinated one must be underlined. Theoretical results herein reported </w:t>
      </w:r>
      <w:r w:rsidRPr="00FB5D9D">
        <w:rPr>
          <w:rFonts w:ascii="Times New Roman" w:hAnsi="Times New Roman"/>
          <w:lang/>
        </w:rPr>
        <w:t>show</w:t>
      </w:r>
      <w:r w:rsidRPr="00FB5D9D">
        <w:rPr>
          <w:lang w:val="en-GB"/>
        </w:rPr>
        <w:t xml:space="preserve"> a slight lengthening upon coordination (from 1.166 to 1.185 Å), while the experimental BL of free NO (1.15 Å) perfectly matches the [Co(NO)(salen)] one [</w:t>
      </w:r>
      <w:r w:rsidRPr="00FB5D9D">
        <w:rPr>
          <w:lang w:val="en-GB"/>
        </w:rPr>
        <w:fldChar w:fldCharType="begin"/>
      </w:r>
      <w:r w:rsidRPr="00FB5D9D">
        <w:rPr>
          <w:lang w:val="en-GB"/>
        </w:rPr>
        <w:instrText>REF _Ref82159255 \r \h</w:instrText>
      </w:r>
      <w:r w:rsidRPr="00FB5D9D">
        <w:rPr>
          <w:lang w:val="en-GB"/>
        </w:rPr>
      </w:r>
      <w:r>
        <w:rPr>
          <w:lang w:val="en-GB"/>
        </w:rPr>
        <w:instrText xml:space="preserve"> \* MERGEFORMAT </w:instrText>
      </w:r>
      <w:r w:rsidRPr="00FB5D9D">
        <w:rPr>
          <w:lang w:val="en-GB"/>
        </w:rPr>
        <w:fldChar w:fldCharType="separate"/>
      </w:r>
      <w:r w:rsidRPr="00FB5D9D">
        <w:rPr>
          <w:lang w:val="en-GB"/>
        </w:rPr>
        <w:t>54</w:t>
      </w:r>
      <w:r w:rsidRPr="00FB5D9D">
        <w:rPr>
          <w:lang w:val="en-GB"/>
        </w:rPr>
        <w:fldChar w:fldCharType="end"/>
      </w:r>
      <w:r w:rsidRPr="00FB5D9D">
        <w:rPr>
          <w:lang w:val="en-GB"/>
        </w:rPr>
        <w:t xml:space="preserve">]. It is also </w:t>
      </w:r>
      <w:r w:rsidRPr="00FB5D9D">
        <w:rPr>
          <w:rFonts w:ascii="Times New Roman" w:hAnsi="Times New Roman"/>
          <w:lang/>
        </w:rPr>
        <w:t>worth noting</w:t>
      </w:r>
      <w:r w:rsidRPr="00FB5D9D">
        <w:rPr>
          <w:lang w:val="en-GB"/>
        </w:rPr>
        <w:t xml:space="preserve"> that, even though the geometry of the {CoNO}</w:t>
      </w:r>
      <w:r w:rsidRPr="00FB5D9D">
        <w:rPr>
          <w:vertAlign w:val="superscript"/>
          <w:lang w:val="en-GB"/>
        </w:rPr>
        <w:t>8</w:t>
      </w:r>
      <w:r w:rsidRPr="00FB5D9D">
        <w:rPr>
          <w:lang w:val="en-GB"/>
        </w:rPr>
        <w:t xml:space="preserve"> fragment herein optimized fits very well the one obtained by Kim </w:t>
      </w:r>
      <w:r w:rsidRPr="00FB5D9D">
        <w:rPr>
          <w:i/>
          <w:lang w:val="en-GB"/>
        </w:rPr>
        <w:t>et al.</w:t>
      </w:r>
      <w:r w:rsidRPr="00FB5D9D">
        <w:rPr>
          <w:lang w:val="en-GB"/>
        </w:rPr>
        <w:t xml:space="preserve"> for CoTPP–NO by means of periodic DFT calculations [</w:t>
      </w:r>
      <w:r w:rsidRPr="00FB5D9D">
        <w:rPr>
          <w:lang w:val="en-GB"/>
        </w:rPr>
        <w:fldChar w:fldCharType="begin"/>
      </w:r>
      <w:r w:rsidRPr="00FB5D9D">
        <w:rPr>
          <w:lang w:val="en-GB"/>
        </w:rPr>
        <w:instrText>REF _Ref82265865 \r \h</w:instrText>
      </w:r>
      <w:r w:rsidRPr="00FB5D9D">
        <w:rPr>
          <w:lang w:val="en-GB"/>
        </w:rPr>
      </w:r>
      <w:r>
        <w:rPr>
          <w:lang w:val="en-GB"/>
        </w:rPr>
        <w:instrText xml:space="preserve"> \* MERGEFORMAT </w:instrText>
      </w:r>
      <w:r w:rsidRPr="00FB5D9D">
        <w:rPr>
          <w:lang w:val="en-GB"/>
        </w:rPr>
        <w:fldChar w:fldCharType="separate"/>
      </w:r>
      <w:r w:rsidRPr="00FB5D9D">
        <w:rPr>
          <w:lang w:val="en-GB"/>
        </w:rPr>
        <w:t>55</w:t>
      </w:r>
      <w:r w:rsidRPr="00FB5D9D">
        <w:rPr>
          <w:lang w:val="en-GB"/>
        </w:rPr>
        <w:fldChar w:fldCharType="end"/>
      </w:r>
      <w:r w:rsidRPr="00FB5D9D">
        <w:rPr>
          <w:lang w:val="en-GB"/>
        </w:rPr>
        <w:t xml:space="preserve">], their Co–NO </w:t>
      </w:r>
      <w:r w:rsidRPr="00FB5D9D">
        <w:rPr>
          <w:i/>
          <w:lang w:val="en-GB"/>
        </w:rPr>
        <w:t>BE</w:t>
      </w:r>
      <w:r w:rsidRPr="00FB5D9D">
        <w:rPr>
          <w:lang w:val="en-GB"/>
        </w:rPr>
        <w:t xml:space="preserve"> (1.67 eV) is higher than that we obtained by exploiting the molecular cluster model (1.32 eV, see Table S33 of the SM). This difference could be due to the different functional PBE in periodic calculations and the BP86 herein adopted. As a whole, our data indicate that: i) the CoTPP–NO bonding is accompanied by the Co</w:t>
      </w:r>
      <w:r w:rsidRPr="00FB5D9D">
        <w:rPr>
          <w:vertAlign w:val="superscript"/>
          <w:lang w:val="en-GB"/>
        </w:rPr>
        <w:t>II</w:t>
      </w:r>
      <w:r w:rsidRPr="00FB5D9D">
        <w:rPr>
          <w:lang w:val="en-GB"/>
        </w:rPr>
        <w:t xml:space="preserve"> </w:t>
      </w:r>
      <w:r w:rsidRPr="00FB5D9D">
        <w:rPr>
          <w:rFonts w:ascii="Symbol" w:eastAsia="Symbol" w:hAnsi="Symbol" w:cs="Symbol"/>
          <w:lang w:val="en-GB"/>
        </w:rPr>
        <w:t></w:t>
      </w:r>
      <w:r w:rsidRPr="00FB5D9D">
        <w:rPr>
          <w:lang w:val="en-GB"/>
        </w:rPr>
        <w:t xml:space="preserve"> Co</w:t>
      </w:r>
      <w:r w:rsidRPr="00FB5D9D">
        <w:rPr>
          <w:vertAlign w:val="superscript"/>
          <w:lang w:val="en-GB"/>
        </w:rPr>
        <w:t>I</w:t>
      </w:r>
      <w:r w:rsidRPr="00FB5D9D">
        <w:rPr>
          <w:lang w:val="en-GB"/>
        </w:rPr>
        <w:t xml:space="preserve"> “reduction”; ii) the saddle conformation adopted by Kim et al. for the CoTPP–NO on Au(111) takes place independently of the surface presence; iii) if </w:t>
      </w:r>
      <m:oMath>
        <m:sSubSup>
          <m:sSubSupPr>
            <m:ctrlPr>
              <w:rPr>
                <w:rFonts w:ascii="Cambria Math" w:hAnsi="Cambria Math"/>
              </w:rPr>
            </m:ctrlPr>
          </m:sSubSupPr>
          <m:e>
            <m:r>
              <w:rPr>
                <w:rFonts w:ascii="Cambria Math" w:hAnsi="Cambria Math"/>
              </w:rPr>
              <m:t>ΔE</m:t>
            </m:r>
          </m:e>
          <m:sub>
            <m:r>
              <m:rPr>
                <m:sty m:val="p"/>
              </m:rPr>
              <w:rPr>
                <w:rFonts w:ascii="Cambria Math" w:hAnsi="Cambria Math"/>
              </w:rPr>
              <m:t>prep</m:t>
            </m:r>
          </m:sub>
          <m:sup>
            <m:r>
              <m:rPr>
                <m:sty m:val="p"/>
              </m:rPr>
              <w:rPr>
                <w:rFonts w:ascii="Cambria Math" w:hAnsi="Cambria Math"/>
              </w:rPr>
              <m:t>NO</m:t>
            </m:r>
          </m:sup>
        </m:sSubSup>
      </m:oMath>
      <w:r w:rsidRPr="00FB5D9D">
        <w:rPr>
          <w:lang w:val="en-GB"/>
        </w:rPr>
        <w:t xml:space="preserve"> (0.02 eV) and </w:t>
      </w:r>
      <m:oMath>
        <m:sSubSup>
          <m:sSubSupPr>
            <m:ctrlPr>
              <w:rPr>
                <w:rFonts w:ascii="Cambria Math" w:hAnsi="Cambria Math"/>
              </w:rPr>
            </m:ctrlPr>
          </m:sSubSupPr>
          <m:e>
            <m:r>
              <w:rPr>
                <w:rFonts w:ascii="Cambria Math" w:hAnsi="Cambria Math"/>
              </w:rPr>
              <m:t>ΔE</m:t>
            </m:r>
          </m:e>
          <m:sub>
            <m:r>
              <m:rPr>
                <m:sty m:val="p"/>
              </m:rPr>
              <w:rPr>
                <w:rFonts w:ascii="Cambria Math" w:hAnsi="Cambria Math"/>
              </w:rPr>
              <m:t>prep</m:t>
            </m:r>
          </m:sub>
          <m:sup>
            <m:r>
              <m:rPr>
                <m:sty m:val="p"/>
              </m:rPr>
              <w:rPr>
                <w:rFonts w:ascii="Cambria Math" w:hAnsi="Cambria Math"/>
              </w:rPr>
              <m:t>CoTPP</m:t>
            </m:r>
          </m:sup>
        </m:sSubSup>
      </m:oMath>
      <w:r w:rsidRPr="00FB5D9D">
        <w:rPr>
          <w:lang w:val="en-GB"/>
        </w:rPr>
        <w:t xml:space="preserve"> (</w:t>
      </w:r>
      <w:r w:rsidRPr="00FB5D9D">
        <w:rPr>
          <w:color w:val="auto"/>
          <w:lang w:val="en-GB"/>
        </w:rPr>
        <w:t xml:space="preserve">0.21 </w:t>
      </w:r>
      <w:r w:rsidRPr="00FB5D9D">
        <w:rPr>
          <w:lang w:val="en-GB"/>
        </w:rPr>
        <w:t xml:space="preserve">eV) are both neglected, the Co–NO </w:t>
      </w:r>
      <w:r w:rsidRPr="00FB5D9D">
        <w:rPr>
          <w:i/>
          <w:lang w:val="en-GB"/>
        </w:rPr>
        <w:t>BE</w:t>
      </w:r>
      <w:r w:rsidRPr="00FB5D9D">
        <w:rPr>
          <w:lang w:val="en-GB"/>
        </w:rPr>
        <w:t xml:space="preserve"> is rather close to the value estimated by Kim </w:t>
      </w:r>
      <w:r w:rsidRPr="00FB5D9D">
        <w:rPr>
          <w:i/>
          <w:lang w:val="en-GB"/>
        </w:rPr>
        <w:t>et al.</w:t>
      </w:r>
      <w:r w:rsidRPr="00FB5D9D">
        <w:rPr>
          <w:lang w:val="en-GB"/>
        </w:rPr>
        <w:t xml:space="preserve"> for the free CoTPP–NO [</w:t>
      </w:r>
      <w:r w:rsidRPr="00FB5D9D">
        <w:rPr>
          <w:lang w:val="en-GB"/>
        </w:rPr>
        <w:fldChar w:fldCharType="begin"/>
      </w:r>
      <w:r w:rsidRPr="00FB5D9D">
        <w:rPr>
          <w:lang w:val="en-GB"/>
        </w:rPr>
        <w:instrText>REF _Ref82265865 \r \h</w:instrText>
      </w:r>
      <w:r w:rsidRPr="00FB5D9D">
        <w:rPr>
          <w:lang w:val="en-GB"/>
        </w:rPr>
      </w:r>
      <w:r>
        <w:rPr>
          <w:lang w:val="en-GB"/>
        </w:rPr>
        <w:instrText xml:space="preserve"> \* MERGEFORMAT </w:instrText>
      </w:r>
      <w:r w:rsidRPr="00FB5D9D">
        <w:rPr>
          <w:lang w:val="en-GB"/>
        </w:rPr>
        <w:fldChar w:fldCharType="separate"/>
      </w:r>
      <w:r w:rsidRPr="00FB5D9D">
        <w:rPr>
          <w:lang w:val="en-GB"/>
        </w:rPr>
        <w:t>55</w:t>
      </w:r>
      <w:r w:rsidRPr="00FB5D9D">
        <w:rPr>
          <w:lang w:val="en-GB"/>
        </w:rPr>
        <w:fldChar w:fldCharType="end"/>
      </w:r>
      <w:r w:rsidRPr="00FB5D9D">
        <w:rPr>
          <w:lang w:val="en-GB"/>
        </w:rPr>
        <w:t xml:space="preserve">].  </w:t>
      </w:r>
    </w:p>
    <w:p w:rsidR="00FB5D9D" w:rsidRPr="00FB5D9D" w:rsidRDefault="00FB5D9D" w:rsidP="00FB5D9D">
      <w:pPr>
        <w:pStyle w:val="MDPI31text"/>
        <w:rPr>
          <w:lang w:val="en-GB"/>
        </w:rPr>
      </w:pPr>
      <w:r w:rsidRPr="00FB5D9D">
        <w:rPr>
          <w:lang w:val="en-GB"/>
        </w:rPr>
        <w:t>Notwithstanding the lack of experimental evidence for the CoTPP–NO</w:t>
      </w:r>
      <w:r w:rsidRPr="00FB5D9D">
        <w:rPr>
          <w:vertAlign w:val="subscript"/>
          <w:lang w:val="en-GB"/>
        </w:rPr>
        <w:t>2</w:t>
      </w:r>
      <w:r w:rsidRPr="00FB5D9D">
        <w:rPr>
          <w:lang w:val="en-GB"/>
        </w:rPr>
        <w:t xml:space="preserve"> adduct, just under thirty years ago</w:t>
      </w:r>
      <w:r w:rsidRPr="00FB5D9D">
        <w:rPr>
          <w:rFonts w:ascii="Times New Roman" w:hAnsi="Times New Roman"/>
          <w:lang/>
        </w:rPr>
        <w:t>,</w:t>
      </w:r>
      <w:r w:rsidRPr="00FB5D9D">
        <w:rPr>
          <w:lang w:val="en-GB"/>
        </w:rPr>
        <w:t xml:space="preserve"> Rousseau </w:t>
      </w:r>
      <w:r w:rsidRPr="00FB5D9D">
        <w:rPr>
          <w:i/>
          <w:lang w:val="en-GB"/>
        </w:rPr>
        <w:t>et al.</w:t>
      </w:r>
      <w:r w:rsidRPr="00FB5D9D">
        <w:rPr>
          <w:lang w:val="en-GB"/>
        </w:rPr>
        <w:t xml:space="preserve"> [</w:t>
      </w:r>
      <w:r w:rsidRPr="00FB5D9D">
        <w:rPr>
          <w:lang w:val="en-GB"/>
        </w:rPr>
        <w:fldChar w:fldCharType="begin"/>
      </w:r>
      <w:r w:rsidRPr="00FB5D9D">
        <w:rPr>
          <w:lang w:val="en-GB"/>
        </w:rPr>
        <w:instrText>REF _Ref82266180 \r \h</w:instrText>
      </w:r>
      <w:r w:rsidRPr="00FB5D9D">
        <w:rPr>
          <w:lang w:val="en-GB"/>
        </w:rPr>
      </w:r>
      <w:r>
        <w:rPr>
          <w:lang w:val="en-GB"/>
        </w:rPr>
        <w:instrText xml:space="preserve"> \* MERGEFORMAT </w:instrText>
      </w:r>
      <w:r w:rsidRPr="00FB5D9D">
        <w:rPr>
          <w:lang w:val="en-GB"/>
        </w:rPr>
        <w:fldChar w:fldCharType="separate"/>
      </w:r>
      <w:r w:rsidRPr="00FB5D9D">
        <w:rPr>
          <w:lang w:val="en-GB"/>
        </w:rPr>
        <w:t>56</w:t>
      </w:r>
      <w:r w:rsidRPr="00FB5D9D">
        <w:rPr>
          <w:lang w:val="en-GB"/>
        </w:rPr>
        <w:fldChar w:fldCharType="end"/>
      </w:r>
      <w:r w:rsidRPr="00FB5D9D">
        <w:rPr>
          <w:lang w:val="en-GB"/>
        </w:rPr>
        <w:t>] tackled the electronic and molecular properties of the EPR silent CoPc–NO</w:t>
      </w:r>
      <w:r w:rsidRPr="00FB5D9D">
        <w:rPr>
          <w:vertAlign w:val="subscript"/>
          <w:lang w:val="en-GB"/>
        </w:rPr>
        <w:t>2</w:t>
      </w:r>
      <w:r w:rsidRPr="00FB5D9D">
        <w:rPr>
          <w:lang w:val="en-GB"/>
        </w:rPr>
        <w:t xml:space="preserve"> adduct</w:t>
      </w:r>
      <w:r w:rsidRPr="00FB5D9D">
        <w:rPr>
          <w:rFonts w:ascii="Times New Roman" w:hAnsi="Times New Roman"/>
          <w:lang/>
        </w:rPr>
        <w:t>,</w:t>
      </w:r>
      <w:r w:rsidRPr="00FB5D9D">
        <w:rPr>
          <w:lang w:val="en-GB"/>
        </w:rPr>
        <w:t xml:space="preserve"> pointing out that the Co–N</w:t>
      </w:r>
      <w:r w:rsidRPr="00FB5D9D">
        <w:rPr>
          <w:vertAlign w:val="subscript"/>
          <w:lang w:val="en-GB"/>
        </w:rPr>
        <w:t>NO</w:t>
      </w:r>
      <w:r w:rsidRPr="00FB5D9D">
        <w:rPr>
          <w:sz w:val="13"/>
          <w:szCs w:val="16"/>
          <w:vertAlign w:val="subscript"/>
          <w:lang w:val="en-GB"/>
        </w:rPr>
        <w:t>2</w:t>
      </w:r>
      <w:r w:rsidRPr="00FB5D9D">
        <w:rPr>
          <w:lang w:val="en-GB"/>
        </w:rPr>
        <w:t xml:space="preserve"> direct interaction characteriz</w:t>
      </w:r>
      <w:r w:rsidRPr="00FB5D9D">
        <w:rPr>
          <w:rFonts w:ascii="Times New Roman" w:hAnsi="Times New Roman"/>
          <w:lang/>
        </w:rPr>
        <w:t>ed by</w:t>
      </w:r>
      <w:r w:rsidRPr="00FB5D9D">
        <w:rPr>
          <w:lang w:val="en-GB"/>
        </w:rPr>
        <w:t xml:space="preserve"> the Y-shaped coordination of NO</w:t>
      </w:r>
      <w:r w:rsidRPr="00FB5D9D">
        <w:rPr>
          <w:vertAlign w:val="subscript"/>
          <w:lang w:val="en-GB"/>
        </w:rPr>
        <w:t>2</w:t>
      </w:r>
      <w:r w:rsidRPr="00FB5D9D">
        <w:rPr>
          <w:lang w:val="en-GB"/>
        </w:rPr>
        <w:t xml:space="preserve"> to CoPc is accompanied by a Co </w:t>
      </w:r>
      <w:r w:rsidRPr="00FB5D9D">
        <w:rPr>
          <w:rFonts w:ascii="Symbol" w:eastAsia="Symbol" w:hAnsi="Symbol" w:cs="Symbol"/>
          <w:lang w:val="en-GB"/>
        </w:rPr>
        <w:t></w:t>
      </w:r>
      <w:r w:rsidRPr="00FB5D9D">
        <w:rPr>
          <w:lang w:val="en-GB"/>
        </w:rPr>
        <w:t xml:space="preserve"> NO</w:t>
      </w:r>
      <w:r w:rsidRPr="00FB5D9D">
        <w:rPr>
          <w:vertAlign w:val="subscript"/>
          <w:lang w:val="en-GB"/>
        </w:rPr>
        <w:t>2</w:t>
      </w:r>
      <w:r w:rsidRPr="00FB5D9D">
        <w:rPr>
          <w:lang w:val="en-GB"/>
        </w:rPr>
        <w:t xml:space="preserve"> charge transfer able to affect the electronic density on the pyrrolic N atom. </w:t>
      </w:r>
    </w:p>
    <w:p w:rsidR="00FB5D9D" w:rsidRPr="00FB5D9D" w:rsidRDefault="00FB5D9D" w:rsidP="00FB5D9D">
      <w:pPr>
        <w:pStyle w:val="MDPI31text"/>
        <w:rPr>
          <w:lang w:val="en-GB"/>
        </w:rPr>
      </w:pPr>
      <w:r w:rsidRPr="00FB5D9D">
        <w:rPr>
          <w:lang w:val="en-GB"/>
        </w:rPr>
        <w:t>Analogously to CoTPP–NO, the CoTPP–NO</w:t>
      </w:r>
      <w:r w:rsidRPr="00FB5D9D">
        <w:rPr>
          <w:vertAlign w:val="subscript"/>
          <w:lang w:val="en-GB"/>
        </w:rPr>
        <w:t>2</w:t>
      </w:r>
      <w:r w:rsidRPr="00FB5D9D">
        <w:rPr>
          <w:lang w:val="en-GB"/>
        </w:rPr>
        <w:t xml:space="preserve"> diamagnetic state (LS) is found </w:t>
      </w:r>
      <w:r w:rsidRPr="00FB5D9D">
        <w:rPr>
          <w:rFonts w:ascii="Times New Roman" w:hAnsi="Times New Roman"/>
          <w:lang/>
        </w:rPr>
        <w:t xml:space="preserve">to be </w:t>
      </w:r>
      <w:r w:rsidRPr="00FB5D9D">
        <w:rPr>
          <w:lang w:val="en-GB"/>
        </w:rPr>
        <w:t xml:space="preserve">0.91 eV more stable than the paramagnetic one ; moreover, the optimized geometrical </w:t>
      </w:r>
      <w:r w:rsidRPr="00FB5D9D">
        <w:rPr>
          <w:lang w:val="en-GB"/>
        </w:rPr>
        <w:lastRenderedPageBreak/>
        <w:t>parameters of the C</w:t>
      </w:r>
      <w:r w:rsidRPr="00FB5D9D">
        <w:rPr>
          <w:vertAlign w:val="subscript"/>
          <w:lang w:val="en-GB"/>
        </w:rPr>
        <w:t>2v</w:t>
      </w:r>
      <w:r w:rsidRPr="00FB5D9D">
        <w:rPr>
          <w:lang w:val="en-GB"/>
        </w:rPr>
        <w:t xml:space="preserve"> [</w:t>
      </w:r>
      <w:r w:rsidRPr="00FB5D9D">
        <w:rPr>
          <w:lang w:val="en-GB"/>
        </w:rPr>
        <w:fldChar w:fldCharType="begin"/>
      </w:r>
      <w:r w:rsidRPr="00FB5D9D">
        <w:rPr>
          <w:lang w:val="en-GB"/>
        </w:rPr>
        <w:instrText xml:space="preserve"> REF _Ref82158375 \r \h </w:instrText>
      </w:r>
      <w:r w:rsidRPr="00FB5D9D">
        <w:rPr>
          <w:lang w:val="en-GB"/>
        </w:rPr>
      </w:r>
      <w:r>
        <w:rPr>
          <w:lang w:val="en-GB"/>
        </w:rPr>
        <w:instrText xml:space="preserve"> \* MERGEFORMAT </w:instrText>
      </w:r>
      <w:r w:rsidRPr="00FB5D9D">
        <w:rPr>
          <w:lang w:val="en-GB"/>
        </w:rPr>
        <w:fldChar w:fldCharType="separate"/>
      </w:r>
      <w:r w:rsidRPr="00FB5D9D">
        <w:rPr>
          <w:lang w:val="en-GB"/>
        </w:rPr>
        <w:t>44</w:t>
      </w:r>
      <w:r w:rsidRPr="00FB5D9D">
        <w:rPr>
          <w:lang w:val="en-GB"/>
        </w:rPr>
        <w:fldChar w:fldCharType="end"/>
      </w:r>
      <w:r w:rsidRPr="00FB5D9D">
        <w:rPr>
          <w:lang w:val="en-GB"/>
        </w:rPr>
        <w:t>] CoTPP–NO</w:t>
      </w:r>
      <w:r w:rsidRPr="00FB5D9D">
        <w:rPr>
          <w:vertAlign w:val="subscript"/>
          <w:lang w:val="en-GB"/>
        </w:rPr>
        <w:t>2</w:t>
      </w:r>
      <w:r w:rsidRPr="00FB5D9D">
        <w:rPr>
          <w:lang w:val="en-GB"/>
        </w:rPr>
        <w:t xml:space="preserve"> adduct (see Table S33 of the SM) are very close to those adopted by Rousseau </w:t>
      </w:r>
      <w:r w:rsidRPr="00FB5D9D">
        <w:rPr>
          <w:i/>
          <w:lang w:val="en-GB"/>
        </w:rPr>
        <w:t>et al.</w:t>
      </w:r>
      <w:r w:rsidRPr="00FB5D9D">
        <w:rPr>
          <w:lang w:val="en-GB"/>
        </w:rPr>
        <w:t xml:space="preserve"> (Co–N</w:t>
      </w:r>
      <w:r w:rsidRPr="00FB5D9D">
        <w:rPr>
          <w:vertAlign w:val="subscript"/>
          <w:lang w:val="en-GB"/>
        </w:rPr>
        <w:t>NO</w:t>
      </w:r>
      <w:r w:rsidRPr="00FB5D9D">
        <w:rPr>
          <w:sz w:val="13"/>
          <w:szCs w:val="16"/>
          <w:vertAlign w:val="subscript"/>
          <w:lang w:val="en-GB"/>
        </w:rPr>
        <w:t>2</w:t>
      </w:r>
      <w:r w:rsidRPr="00FB5D9D">
        <w:rPr>
          <w:lang w:val="en-GB"/>
        </w:rPr>
        <w:t xml:space="preserve"> = 1.91 Å; </w:t>
      </w:r>
      <m:oMath>
        <m:r>
          <m:rPr>
            <m:sty m:val="p"/>
          </m:rPr>
          <w:rPr>
            <w:rFonts w:ascii="Cambria Math" w:hAnsi="Cambria Math"/>
          </w:rPr>
          <m:t>Co–</m:t>
        </m:r>
        <m:acc>
          <m:accPr>
            <m:chr m:val="^"/>
            <m:ctrlPr>
              <w:rPr>
                <w:rFonts w:ascii="Cambria Math" w:hAnsi="Cambria Math"/>
              </w:rPr>
            </m:ctrlPr>
          </m:accPr>
          <m:e>
            <m:r>
              <m:rPr>
                <m:sty m:val="p"/>
              </m:rPr>
              <w:rPr>
                <w:rFonts w:ascii="Cambria Math" w:hAnsi="Cambria Math"/>
              </w:rPr>
              <m:t>N</m:t>
            </m:r>
          </m:e>
        </m:acc>
        <m:r>
          <m:rPr>
            <m:sty m:val="p"/>
          </m:rPr>
          <w:rPr>
            <w:rFonts w:ascii="Cambria Math" w:hAnsi="Cambria Math"/>
          </w:rPr>
          <m:t>–O</m:t>
        </m:r>
      </m:oMath>
      <w:r w:rsidRPr="00FB5D9D">
        <w:rPr>
          <w:lang w:val="en-GB"/>
        </w:rPr>
        <w:t xml:space="preserve"> = 120.0°) [</w:t>
      </w:r>
      <w:r w:rsidRPr="00FB5D9D">
        <w:rPr>
          <w:lang w:val="en-GB"/>
        </w:rPr>
        <w:fldChar w:fldCharType="begin"/>
      </w:r>
      <w:r w:rsidRPr="00FB5D9D">
        <w:rPr>
          <w:lang w:val="en-GB"/>
        </w:rPr>
        <w:instrText>REF _Ref82266180 \r \h</w:instrText>
      </w:r>
      <w:r w:rsidRPr="00FB5D9D">
        <w:rPr>
          <w:lang w:val="en-GB"/>
        </w:rPr>
      </w:r>
      <w:r>
        <w:rPr>
          <w:lang w:val="en-GB"/>
        </w:rPr>
        <w:instrText xml:space="preserve"> \* MERGEFORMAT </w:instrText>
      </w:r>
      <w:r w:rsidRPr="00FB5D9D">
        <w:rPr>
          <w:lang w:val="en-GB"/>
        </w:rPr>
        <w:fldChar w:fldCharType="separate"/>
      </w:r>
      <w:r w:rsidRPr="00FB5D9D">
        <w:rPr>
          <w:lang w:val="en-GB"/>
        </w:rPr>
        <w:t>56</w:t>
      </w:r>
      <w:r w:rsidRPr="00FB5D9D">
        <w:rPr>
          <w:lang w:val="en-GB"/>
        </w:rPr>
        <w:fldChar w:fldCharType="end"/>
      </w:r>
      <w:r w:rsidRPr="00FB5D9D">
        <w:rPr>
          <w:lang w:val="en-GB"/>
        </w:rPr>
        <w:t xml:space="preserve">] for their qualitative extended Hückel numerical experiments. As </w:t>
      </w:r>
      <w:r w:rsidRPr="00FB5D9D">
        <w:rPr>
          <w:rFonts w:ascii="Times New Roman" w:hAnsi="Times New Roman"/>
          <w:lang/>
        </w:rPr>
        <w:t>a result</w:t>
      </w:r>
      <w:r w:rsidRPr="00FB5D9D">
        <w:rPr>
          <w:lang w:val="en-GB"/>
        </w:rPr>
        <w:t>, the NO</w:t>
      </w:r>
      <w:r w:rsidRPr="00FB5D9D">
        <w:rPr>
          <w:vertAlign w:val="subscript"/>
          <w:lang w:val="en-GB"/>
        </w:rPr>
        <w:t>2</w:t>
      </w:r>
      <w:r w:rsidRPr="00FB5D9D">
        <w:rPr>
          <w:lang w:val="en-GB"/>
        </w:rPr>
        <w:t xml:space="preserve"> geometry </w:t>
      </w:r>
      <w:r w:rsidRPr="00FB5D9D">
        <w:rPr>
          <w:rFonts w:ascii="Times New Roman" w:hAnsi="Times New Roman"/>
          <w:lang/>
        </w:rPr>
        <w:t>changes</w:t>
      </w:r>
      <w:r w:rsidRPr="00FB5D9D">
        <w:rPr>
          <w:lang w:val="en-GB"/>
        </w:rPr>
        <w:t xml:space="preserve"> upon coordination to CoTPP (the optimized N–O BL lengthens from 1.214</w:t>
      </w:r>
      <w:r w:rsidRPr="00FB5D9D">
        <w:rPr>
          <w:rFonts w:ascii="Times New Roman" w:hAnsi="Times New Roman"/>
          <w:lang w:val="en-GB"/>
        </w:rPr>
        <w:t xml:space="preserve"> </w:t>
      </w:r>
      <w:r w:rsidRPr="00FB5D9D">
        <w:rPr>
          <w:lang w:val="en-GB"/>
        </w:rPr>
        <w:t xml:space="preserve">to 1.235 Å and the </w:t>
      </w:r>
      <m:oMath>
        <m:r>
          <m:rPr>
            <m:sty m:val="p"/>
          </m:rPr>
          <w:rPr>
            <w:rFonts w:ascii="Cambria Math" w:hAnsi="Cambria Math"/>
          </w:rPr>
          <m:t>O–</m:t>
        </m:r>
        <m:acc>
          <m:accPr>
            <m:chr m:val="^"/>
            <m:ctrlPr>
              <w:rPr>
                <w:rFonts w:ascii="Cambria Math" w:hAnsi="Cambria Math"/>
              </w:rPr>
            </m:ctrlPr>
          </m:accPr>
          <m:e>
            <m:r>
              <m:rPr>
                <m:sty m:val="p"/>
              </m:rPr>
              <w:rPr>
                <w:rFonts w:ascii="Cambria Math" w:hAnsi="Cambria Math"/>
              </w:rPr>
              <m:t>N</m:t>
            </m:r>
          </m:e>
        </m:acc>
        <m:r>
          <m:rPr>
            <m:sty m:val="p"/>
          </m:rPr>
          <w:rPr>
            <w:rFonts w:ascii="Cambria Math" w:hAnsi="Cambria Math"/>
          </w:rPr>
          <m:t>–O</m:t>
        </m:r>
      </m:oMath>
      <w:r w:rsidRPr="00FB5D9D">
        <w:rPr>
          <w:lang w:val="en-GB"/>
        </w:rPr>
        <w:t xml:space="preserve"> BA narrows from 133.2° to 125.3°) </w:t>
      </w:r>
      <w:r w:rsidRPr="00FB5D9D">
        <w:rPr>
          <w:rFonts w:ascii="Times New Roman" w:hAnsi="Times New Roman"/>
          <w:lang/>
        </w:rPr>
        <w:t>are</w:t>
      </w:r>
      <w:r w:rsidRPr="00FB5D9D">
        <w:rPr>
          <w:lang w:val="en-GB"/>
        </w:rPr>
        <w:t xml:space="preserve"> perfectly in tune with the above-mentioned Co </w:t>
      </w:r>
      <w:r w:rsidRPr="00FB5D9D">
        <w:rPr>
          <w:rFonts w:ascii="Symbol" w:eastAsia="Symbol" w:hAnsi="Symbol" w:cs="Symbol"/>
          <w:lang w:val="en-GB"/>
        </w:rPr>
        <w:t></w:t>
      </w:r>
      <w:r w:rsidRPr="00FB5D9D">
        <w:rPr>
          <w:lang w:val="en-GB"/>
        </w:rPr>
        <w:t xml:space="preserve"> NO</w:t>
      </w:r>
      <w:r w:rsidRPr="00FB5D9D">
        <w:rPr>
          <w:vertAlign w:val="subscript"/>
          <w:lang w:val="en-GB"/>
        </w:rPr>
        <w:t>2</w:t>
      </w:r>
      <w:r w:rsidRPr="00FB5D9D">
        <w:rPr>
          <w:lang w:val="en-GB"/>
        </w:rPr>
        <w:t xml:space="preserve"> charge transfer. Incidentally, the experimental N–O BL and </w:t>
      </w:r>
      <m:oMath>
        <m:r>
          <m:rPr>
            <m:sty m:val="p"/>
          </m:rPr>
          <w:rPr>
            <w:rFonts w:ascii="Cambria Math" w:hAnsi="Cambria Math"/>
          </w:rPr>
          <m:t>O–</m:t>
        </m:r>
        <m:acc>
          <m:accPr>
            <m:chr m:val="^"/>
            <m:ctrlPr>
              <w:rPr>
                <w:rFonts w:ascii="Cambria Math" w:hAnsi="Cambria Math"/>
              </w:rPr>
            </m:ctrlPr>
          </m:accPr>
          <m:e>
            <m:r>
              <m:rPr>
                <m:sty m:val="p"/>
              </m:rPr>
              <w:rPr>
                <w:rFonts w:ascii="Cambria Math" w:hAnsi="Cambria Math"/>
              </w:rPr>
              <m:t>N</m:t>
            </m:r>
          </m:e>
        </m:acc>
        <m:r>
          <m:rPr>
            <m:sty m:val="p"/>
          </m:rPr>
          <w:rPr>
            <w:rFonts w:ascii="Cambria Math" w:hAnsi="Cambria Math"/>
          </w:rPr>
          <m:t>–O</m:t>
        </m:r>
      </m:oMath>
      <w:r w:rsidRPr="00FB5D9D">
        <w:rPr>
          <w:lang w:val="en-GB"/>
        </w:rPr>
        <w:t xml:space="preserve"> BA </w:t>
      </w:r>
      <w:r w:rsidRPr="00FB5D9D">
        <w:rPr>
          <w:rFonts w:ascii="Times New Roman" w:hAnsi="Times New Roman"/>
          <w:lang/>
        </w:rPr>
        <w:t xml:space="preserve">values </w:t>
      </w:r>
      <w:r w:rsidRPr="00FB5D9D">
        <w:rPr>
          <w:lang w:val="en-GB"/>
        </w:rPr>
        <w:t>pass from 1.197 Å and 134.3° in the free NO</w:t>
      </w:r>
      <w:r w:rsidRPr="00FB5D9D">
        <w:rPr>
          <w:vertAlign w:val="subscript"/>
          <w:lang w:val="en-GB"/>
        </w:rPr>
        <w:t>2</w:t>
      </w:r>
      <w:r w:rsidRPr="00FB5D9D">
        <w:rPr>
          <w:lang w:val="en-GB"/>
        </w:rPr>
        <w:t xml:space="preserve"> to 1.236 Å and 115.4° in the NO</w:t>
      </w:r>
      <w:r w:rsidRPr="00FB5D9D">
        <w:rPr>
          <w:vertAlign w:val="subscript"/>
          <w:lang w:val="en-GB"/>
        </w:rPr>
        <w:t>2</w:t>
      </w:r>
      <w:r w:rsidRPr="00FB5D9D">
        <w:rPr>
          <w:vertAlign w:val="superscript"/>
          <w:lang w:val="en-GB"/>
        </w:rPr>
        <w:t>-</w:t>
      </w:r>
      <w:r w:rsidRPr="00FB5D9D">
        <w:rPr>
          <w:lang w:val="en-GB"/>
        </w:rPr>
        <w:t xml:space="preserve"> nitrite ion [</w:t>
      </w:r>
      <w:r w:rsidRPr="00FB5D9D">
        <w:rPr>
          <w:lang w:val="en-GB"/>
        </w:rPr>
        <w:fldChar w:fldCharType="begin"/>
      </w:r>
      <w:r w:rsidRPr="00FB5D9D">
        <w:rPr>
          <w:lang w:val="en-GB"/>
        </w:rPr>
        <w:instrText>REF _Ref82330914 \r \h</w:instrText>
      </w:r>
      <w:r w:rsidRPr="00FB5D9D">
        <w:rPr>
          <w:lang w:val="en-GB"/>
        </w:rPr>
      </w:r>
      <w:r>
        <w:rPr>
          <w:lang w:val="en-GB"/>
        </w:rPr>
        <w:instrText xml:space="preserve"> \* MERGEFORMAT </w:instrText>
      </w:r>
      <w:r w:rsidRPr="00FB5D9D">
        <w:rPr>
          <w:lang w:val="en-GB"/>
        </w:rPr>
        <w:fldChar w:fldCharType="separate"/>
      </w:r>
      <w:r w:rsidRPr="00FB5D9D">
        <w:rPr>
          <w:lang w:val="en-GB"/>
        </w:rPr>
        <w:t>57</w:t>
      </w:r>
      <w:r w:rsidRPr="00FB5D9D">
        <w:rPr>
          <w:lang w:val="en-GB"/>
        </w:rPr>
        <w:fldChar w:fldCharType="end"/>
      </w:r>
      <w:r w:rsidRPr="00FB5D9D">
        <w:rPr>
          <w:lang w:val="en-GB"/>
        </w:rPr>
        <w:t xml:space="preserve">]. </w:t>
      </w:r>
    </w:p>
    <w:p w:rsidR="00FB5D9D" w:rsidRPr="00FB5D9D" w:rsidRDefault="00FB5D9D" w:rsidP="00FB5D9D">
      <w:pPr>
        <w:pStyle w:val="MDPI31text"/>
        <w:rPr>
          <w:lang w:val="en-GB"/>
        </w:rPr>
      </w:pPr>
      <w:r w:rsidRPr="00FB5D9D">
        <w:rPr>
          <w:lang w:val="en-GB"/>
        </w:rPr>
        <w:t>Moving to the electronic properties of CoTPP–NO</w:t>
      </w:r>
      <w:r w:rsidRPr="00FB5D9D">
        <w:rPr>
          <w:vertAlign w:val="subscript"/>
          <w:lang w:val="en-GB"/>
        </w:rPr>
        <w:t>2</w:t>
      </w:r>
      <w:r w:rsidRPr="00FB5D9D">
        <w:rPr>
          <w:lang w:val="en-GB"/>
        </w:rPr>
        <w:t xml:space="preserve">, a thorough analysis of its frontier MOs (see Figure 2) reveals that, </w:t>
      </w:r>
      <w:r w:rsidRPr="00FB5D9D">
        <w:rPr>
          <w:rFonts w:ascii="Times New Roman" w:hAnsi="Times New Roman"/>
          <w:lang/>
        </w:rPr>
        <w:t>contrary</w:t>
      </w:r>
      <w:r w:rsidRPr="00FB5D9D">
        <w:rPr>
          <w:lang w:val="en-GB"/>
        </w:rPr>
        <w:t xml:space="preserve"> to the Co–NO bonding, the Co–NO</w:t>
      </w:r>
      <w:r w:rsidRPr="00FB5D9D">
        <w:rPr>
          <w:vertAlign w:val="subscript"/>
          <w:lang w:val="en-GB"/>
        </w:rPr>
        <w:t>2</w:t>
      </w:r>
      <w:r w:rsidRPr="00FB5D9D">
        <w:rPr>
          <w:lang w:val="en-GB"/>
        </w:rPr>
        <w:t xml:space="preserve"> one is accompanied by the Co</w:t>
      </w:r>
      <w:r w:rsidRPr="00FB5D9D">
        <w:rPr>
          <w:vertAlign w:val="superscript"/>
          <w:lang w:val="en-GB"/>
        </w:rPr>
        <w:t>II</w:t>
      </w:r>
      <w:r w:rsidRPr="00FB5D9D">
        <w:rPr>
          <w:lang w:val="en-GB"/>
        </w:rPr>
        <w:t xml:space="preserve"> </w:t>
      </w:r>
      <w:r w:rsidRPr="00FB5D9D">
        <w:rPr>
          <w:rFonts w:ascii="Symbol" w:eastAsia="Symbol" w:hAnsi="Symbol" w:cs="Symbol"/>
          <w:lang w:val="en-GB"/>
        </w:rPr>
        <w:t></w:t>
      </w:r>
      <w:r w:rsidRPr="00FB5D9D">
        <w:rPr>
          <w:lang w:val="en-GB"/>
        </w:rPr>
        <w:t xml:space="preserve"> Co</w:t>
      </w:r>
      <w:r w:rsidRPr="00FB5D9D">
        <w:rPr>
          <w:vertAlign w:val="superscript"/>
          <w:lang w:val="en-GB"/>
        </w:rPr>
        <w:t>III</w:t>
      </w:r>
      <w:r w:rsidRPr="00FB5D9D">
        <w:rPr>
          <w:lang w:val="en-GB"/>
        </w:rPr>
        <w:t xml:space="preserve"> oxidation. In more detail, the CoTPP–NO</w:t>
      </w:r>
      <w:r w:rsidRPr="00FB5D9D">
        <w:rPr>
          <w:vertAlign w:val="subscript"/>
          <w:lang w:val="en-GB"/>
        </w:rPr>
        <w:t>2</w:t>
      </w:r>
      <w:r w:rsidRPr="00FB5D9D">
        <w:rPr>
          <w:lang w:val="en-GB"/>
        </w:rPr>
        <w:t xml:space="preserve"> 45a</w:t>
      </w:r>
      <w:r w:rsidRPr="00FB5D9D">
        <w:rPr>
          <w:vertAlign w:val="subscript"/>
          <w:lang w:val="en-GB"/>
        </w:rPr>
        <w:t>1</w:t>
      </w:r>
      <w:r w:rsidRPr="00FB5D9D">
        <w:rPr>
          <w:lang w:val="en-GB"/>
        </w:rPr>
        <w:t xml:space="preserve"> HOMO is reminiscent of the </w:t>
      </w:r>
      <w:r w:rsidRPr="00FB5D9D">
        <w:rPr>
          <w:vertAlign w:val="superscript"/>
          <w:lang w:val="en-GB"/>
        </w:rPr>
        <w:t>NO</w:t>
      </w:r>
      <w:r w:rsidRPr="00FB5D9D">
        <w:rPr>
          <w:sz w:val="15"/>
          <w:szCs w:val="18"/>
          <w:vertAlign w:val="superscript"/>
          <w:lang w:val="en-GB"/>
        </w:rPr>
        <w:t>2</w:t>
      </w:r>
      <w:r w:rsidRPr="00FB5D9D">
        <w:rPr>
          <w:rFonts w:ascii="Symbol" w:eastAsia="Symbol" w:hAnsi="Symbol" w:cs="Symbol"/>
          <w:lang w:val="en-GB"/>
        </w:rPr>
        <w:t></w:t>
      </w:r>
      <w:r w:rsidRPr="00FB5D9D">
        <w:rPr>
          <w:vertAlign w:val="superscript"/>
          <w:lang w:val="en-GB"/>
        </w:rPr>
        <w:t>*</w:t>
      </w:r>
      <w:r w:rsidRPr="00FB5D9D">
        <w:rPr>
          <w:rFonts w:ascii="Times New Roman" w:hAnsi="Times New Roman"/>
          <w:vertAlign w:val="subscript"/>
          <w:lang w:val="en-GB"/>
        </w:rPr>
        <w:t>||</w:t>
      </w:r>
      <w:r w:rsidRPr="00FB5D9D">
        <w:rPr>
          <w:lang w:val="en-GB"/>
        </w:rPr>
        <w:t xml:space="preserve"> SOMO [</w:t>
      </w:r>
      <w:r w:rsidRPr="00FB5D9D">
        <w:rPr>
          <w:lang w:val="en-GB"/>
        </w:rPr>
        <w:fldChar w:fldCharType="begin"/>
      </w:r>
      <w:r w:rsidRPr="00FB5D9D">
        <w:rPr>
          <w:lang w:val="en-GB"/>
        </w:rPr>
        <w:instrText>REF _Ref82612635 \r \h</w:instrText>
      </w:r>
      <w:r w:rsidRPr="00FB5D9D">
        <w:rPr>
          <w:lang w:val="en-GB"/>
        </w:rPr>
      </w:r>
      <w:r>
        <w:rPr>
          <w:lang w:val="en-GB"/>
        </w:rPr>
        <w:instrText xml:space="preserve"> \* MERGEFORMAT </w:instrText>
      </w:r>
      <w:r w:rsidRPr="00FB5D9D">
        <w:rPr>
          <w:lang w:val="en-GB"/>
        </w:rPr>
        <w:fldChar w:fldCharType="separate"/>
      </w:r>
      <w:r w:rsidRPr="00FB5D9D">
        <w:rPr>
          <w:lang w:val="en-GB"/>
        </w:rPr>
        <w:t>58</w:t>
      </w:r>
      <w:r w:rsidRPr="00FB5D9D">
        <w:rPr>
          <w:lang w:val="en-GB"/>
        </w:rPr>
        <w:fldChar w:fldCharType="end"/>
      </w:r>
      <w:r w:rsidRPr="00FB5D9D">
        <w:rPr>
          <w:lang w:val="en-GB"/>
        </w:rPr>
        <w:t>] and it is poorly localized (9%) on the Co 3d-based AOs (see Figure 2D), while the 46a</w:t>
      </w:r>
      <w:r w:rsidRPr="00FB5D9D">
        <w:rPr>
          <w:vertAlign w:val="subscript"/>
          <w:lang w:val="en-GB"/>
        </w:rPr>
        <w:t>1</w:t>
      </w:r>
      <w:r w:rsidRPr="00FB5D9D">
        <w:rPr>
          <w:lang w:val="en-GB"/>
        </w:rPr>
        <w:t xml:space="preserve"> LUMO is strongly concentrated (46%) on the Co </w:t>
      </w:r>
      <m:oMath>
        <m:r>
          <m:rPr>
            <m:sty m:val="p"/>
          </m:rPr>
          <w:rPr>
            <w:rFonts w:ascii="Cambria Math" w:hAnsi="Cambria Math"/>
          </w:rPr>
          <m:t>3</m:t>
        </m:r>
        <m:sSub>
          <m:sSubPr>
            <m:ctrlPr>
              <w:rPr>
                <w:rFonts w:ascii="Cambria Math" w:hAnsi="Cambria Math"/>
              </w:rPr>
            </m:ctrlPr>
          </m:sSubPr>
          <m:e>
            <m:r>
              <m:rPr>
                <m:sty m:val="p"/>
              </m:rPr>
              <w:rPr>
                <w:rFonts w:ascii="Cambria Math" w:hAnsi="Cambria Math"/>
              </w:rPr>
              <m:t>d</m:t>
            </m:r>
          </m:e>
          <m:sub>
            <m:sSup>
              <m:sSupPr>
                <m:ctrlPr>
                  <w:rPr>
                    <w:rFonts w:ascii="Cambria Math" w:hAnsi="Cambria Math"/>
                  </w:rPr>
                </m:ctrlPr>
              </m:sSupPr>
              <m:e>
                <m:r>
                  <m:rPr>
                    <m:sty m:val="p"/>
                  </m:rPr>
                  <w:rPr>
                    <w:rFonts w:ascii="Cambria Math" w:hAnsi="Cambria Math"/>
                  </w:rPr>
                  <m:t>z</m:t>
                </m:r>
              </m:e>
              <m:sup>
                <m:r>
                  <m:rPr>
                    <m:sty m:val="p"/>
                  </m:rPr>
                  <w:rPr>
                    <w:rFonts w:ascii="Cambria Math" w:hAnsi="Cambria Math"/>
                  </w:rPr>
                  <m:t>2</m:t>
                </m:r>
              </m:sup>
            </m:sSup>
          </m:sub>
        </m:sSub>
      </m:oMath>
      <w:r w:rsidRPr="00FB5D9D">
        <w:rPr>
          <w:lang w:val="en-GB"/>
        </w:rPr>
        <w:t xml:space="preserve"> AO. As a whole, even though the coordination to CoTPP of both the </w:t>
      </w:r>
      <w:r w:rsidRPr="00FB5D9D">
        <w:rPr>
          <w:vertAlign w:val="superscript"/>
          <w:lang w:val="en-GB"/>
        </w:rPr>
        <w:t>1</w:t>
      </w:r>
      <w:r w:rsidRPr="00FB5D9D">
        <w:rPr>
          <w:lang w:val="en-GB"/>
        </w:rPr>
        <w:t xml:space="preserve">L herein considered “switches off” the magnetization of the complex (no unpaired electron is present), the </w:t>
      </w:r>
      <w:r w:rsidRPr="00FB5D9D">
        <w:rPr>
          <w:vertAlign w:val="superscript"/>
          <w:lang w:val="en-GB"/>
        </w:rPr>
        <w:t>1</w:t>
      </w:r>
      <w:r w:rsidRPr="00FB5D9D">
        <w:rPr>
          <w:lang w:val="en-GB"/>
        </w:rPr>
        <w:t>L quenching mechanism is opposite in NO and NO</w:t>
      </w:r>
      <w:r w:rsidRPr="00FB5D9D">
        <w:rPr>
          <w:vertAlign w:val="subscript"/>
          <w:lang w:val="en-GB"/>
        </w:rPr>
        <w:t>2</w:t>
      </w:r>
      <w:r w:rsidRPr="00FB5D9D">
        <w:rPr>
          <w:lang w:val="en-GB"/>
        </w:rPr>
        <w:t>: in the former case, it implies the reduction of the Co</w:t>
      </w:r>
      <w:r w:rsidRPr="00FB5D9D">
        <w:rPr>
          <w:vertAlign w:val="superscript"/>
          <w:lang w:val="en-GB"/>
        </w:rPr>
        <w:t xml:space="preserve">II </w:t>
      </w:r>
      <w:r w:rsidRPr="00FB5D9D">
        <w:rPr>
          <w:lang w:val="en-GB"/>
        </w:rPr>
        <w:t>centre through the redox reaction NO + CO</w:t>
      </w:r>
      <w:r w:rsidRPr="00FB5D9D">
        <w:rPr>
          <w:vertAlign w:val="superscript"/>
          <w:lang w:val="en-GB"/>
        </w:rPr>
        <w:t>II</w:t>
      </w:r>
      <w:r w:rsidRPr="00FB5D9D">
        <w:rPr>
          <w:lang w:val="en-GB"/>
        </w:rPr>
        <w:t xml:space="preserve"> </w:t>
      </w:r>
      <w:r w:rsidRPr="00FB5D9D">
        <w:rPr>
          <w:rFonts w:ascii="Symbol" w:eastAsia="Symbol" w:hAnsi="Symbol" w:cs="Symbol"/>
          <w:lang w:val="en-GB"/>
        </w:rPr>
        <w:t></w:t>
      </w:r>
      <w:r w:rsidRPr="00FB5D9D">
        <w:rPr>
          <w:lang w:val="en-GB"/>
        </w:rPr>
        <w:t xml:space="preserve"> NO</w:t>
      </w:r>
      <w:r w:rsidRPr="00FB5D9D">
        <w:rPr>
          <w:vertAlign w:val="superscript"/>
          <w:lang w:val="en-GB"/>
        </w:rPr>
        <w:t>+</w:t>
      </w:r>
      <w:r w:rsidRPr="00FB5D9D">
        <w:rPr>
          <w:lang w:val="en-GB"/>
        </w:rPr>
        <w:t xml:space="preserve"> + Co</w:t>
      </w:r>
      <w:r w:rsidRPr="00FB5D9D">
        <w:rPr>
          <w:vertAlign w:val="superscript"/>
          <w:lang w:val="en-GB"/>
        </w:rPr>
        <w:t>I</w:t>
      </w:r>
      <w:r w:rsidRPr="00FB5D9D">
        <w:rPr>
          <w:lang w:val="en-GB"/>
        </w:rPr>
        <w:t>, while in the latter, the oxidation of the Co</w:t>
      </w:r>
      <w:r w:rsidRPr="00FB5D9D">
        <w:rPr>
          <w:vertAlign w:val="superscript"/>
          <w:lang w:val="en-GB"/>
        </w:rPr>
        <w:t xml:space="preserve">II </w:t>
      </w:r>
      <w:r w:rsidRPr="00FB5D9D">
        <w:rPr>
          <w:lang w:val="en-GB"/>
        </w:rPr>
        <w:t>centre through the redox reaction NO</w:t>
      </w:r>
      <w:r w:rsidRPr="00FB5D9D">
        <w:rPr>
          <w:vertAlign w:val="subscript"/>
          <w:lang w:val="en-GB"/>
        </w:rPr>
        <w:t>2</w:t>
      </w:r>
      <w:r w:rsidRPr="00FB5D9D">
        <w:rPr>
          <w:lang w:val="en-GB"/>
        </w:rPr>
        <w:t xml:space="preserve"> + CO</w:t>
      </w:r>
      <w:r w:rsidRPr="00FB5D9D">
        <w:rPr>
          <w:vertAlign w:val="superscript"/>
          <w:lang w:val="en-GB"/>
        </w:rPr>
        <w:t>II</w:t>
      </w:r>
      <w:r w:rsidRPr="00FB5D9D">
        <w:rPr>
          <w:lang w:val="en-GB"/>
        </w:rPr>
        <w:t xml:space="preserve"> </w:t>
      </w:r>
      <w:r w:rsidRPr="00FB5D9D">
        <w:rPr>
          <w:rFonts w:ascii="Symbol" w:eastAsia="Symbol" w:hAnsi="Symbol" w:cs="Symbol"/>
          <w:lang w:val="en-GB"/>
        </w:rPr>
        <w:t></w:t>
      </w:r>
      <w:r w:rsidRPr="00FB5D9D">
        <w:rPr>
          <w:lang w:val="en-GB"/>
        </w:rPr>
        <w:t xml:space="preserve"> NO</w:t>
      </w:r>
      <w:r w:rsidRPr="00FB5D9D">
        <w:rPr>
          <w:vertAlign w:val="subscript"/>
          <w:lang w:val="en-GB"/>
        </w:rPr>
        <w:t>2</w:t>
      </w:r>
      <w:r w:rsidRPr="00FB5D9D">
        <w:rPr>
          <w:vertAlign w:val="superscript"/>
          <w:lang w:val="en-GB"/>
        </w:rPr>
        <w:t>-</w:t>
      </w:r>
      <w:r w:rsidRPr="00FB5D9D">
        <w:rPr>
          <w:lang w:val="en-GB"/>
        </w:rPr>
        <w:t xml:space="preserve"> + Co</w:t>
      </w:r>
      <w:r w:rsidRPr="00FB5D9D">
        <w:rPr>
          <w:vertAlign w:val="superscript"/>
          <w:lang w:val="en-GB"/>
        </w:rPr>
        <w:t>III</w:t>
      </w:r>
      <w:r w:rsidRPr="00FB5D9D">
        <w:rPr>
          <w:lang w:val="en-GB"/>
        </w:rPr>
        <w:t xml:space="preserve"> takes place.</w:t>
      </w:r>
    </w:p>
    <w:p w:rsidR="00FB5D9D" w:rsidRPr="00FB5D9D" w:rsidRDefault="00FB5D9D" w:rsidP="00FB5D9D">
      <w:pPr>
        <w:pStyle w:val="MDPI31text"/>
        <w:rPr>
          <w:lang w:val="en-GB"/>
        </w:rPr>
      </w:pPr>
      <w:r w:rsidRPr="00FB5D9D">
        <w:rPr>
          <w:lang w:val="en-GB"/>
        </w:rPr>
        <w:t>M complexes with O</w:t>
      </w:r>
      <w:r w:rsidRPr="00FB5D9D">
        <w:rPr>
          <w:vertAlign w:val="subscript"/>
          <w:lang w:val="en-GB"/>
        </w:rPr>
        <w:t>2</w:t>
      </w:r>
      <w:r w:rsidRPr="00FB5D9D">
        <w:rPr>
          <w:lang w:val="en-GB"/>
        </w:rPr>
        <w:t xml:space="preserve"> as a ligand have attracted a great interest</w:t>
      </w:r>
      <w:r w:rsidRPr="00FB5D9D">
        <w:rPr>
          <w:rFonts w:ascii="Times New Roman" w:hAnsi="Times New Roman"/>
          <w:lang/>
        </w:rPr>
        <w:t>,</w:t>
      </w:r>
      <w:r w:rsidRPr="00FB5D9D">
        <w:rPr>
          <w:lang w:val="en-GB"/>
        </w:rPr>
        <w:t xml:space="preserve"> mainly </w:t>
      </w:r>
      <w:r w:rsidRPr="00FB5D9D">
        <w:rPr>
          <w:rFonts w:ascii="Times New Roman" w:hAnsi="Times New Roman"/>
          <w:lang/>
        </w:rPr>
        <w:t>driven</w:t>
      </w:r>
      <w:r w:rsidRPr="00FB5D9D">
        <w:rPr>
          <w:lang w:val="en-GB"/>
        </w:rPr>
        <w:t xml:space="preserve"> by the need of looking into the nature and strength of the bonding between dioxygen and M in proteins involved in the O</w:t>
      </w:r>
      <w:r w:rsidRPr="00FB5D9D">
        <w:rPr>
          <w:vertAlign w:val="subscript"/>
          <w:lang w:val="en-GB"/>
        </w:rPr>
        <w:t>2</w:t>
      </w:r>
      <w:r w:rsidRPr="00FB5D9D">
        <w:rPr>
          <w:lang w:val="en-GB"/>
        </w:rPr>
        <w:t xml:space="preserve"> carriage in living things. </w:t>
      </w:r>
      <w:r w:rsidRPr="00FB5D9D">
        <w:rPr>
          <w:rFonts w:ascii="Times New Roman" w:hAnsi="Times New Roman"/>
          <w:lang/>
        </w:rPr>
        <w:t>A</w:t>
      </w:r>
      <w:r w:rsidRPr="00FB5D9D">
        <w:rPr>
          <w:lang w:val="en-GB"/>
        </w:rPr>
        <w:t>ccording to their non-linear M–(</w:t>
      </w:r>
      <w:r w:rsidRPr="00FB5D9D">
        <w:rPr>
          <w:rFonts w:ascii="Symbol" w:eastAsia="Symbol" w:hAnsi="Symbol" w:cs="Symbol"/>
          <w:lang w:val="en-GB"/>
        </w:rPr>
        <w:t></w:t>
      </w:r>
      <w:r w:rsidRPr="00FB5D9D">
        <w:rPr>
          <w:vertAlign w:val="superscript"/>
          <w:lang w:val="en-GB"/>
        </w:rPr>
        <w:t>1</w:t>
      </w:r>
      <w:r w:rsidRPr="00FB5D9D">
        <w:rPr>
          <w:lang w:val="en-GB"/>
        </w:rPr>
        <w:t>-O–O) or bridging M–(</w:t>
      </w:r>
      <w:r w:rsidRPr="00FB5D9D">
        <w:rPr>
          <w:rFonts w:ascii="Symbol" w:eastAsia="Symbol" w:hAnsi="Symbol" w:cs="Symbol"/>
          <w:lang w:val="en-GB"/>
        </w:rPr>
        <w:t></w:t>
      </w:r>
      <w:r w:rsidRPr="00FB5D9D">
        <w:rPr>
          <w:lang w:val="en-GB"/>
        </w:rPr>
        <w:t>-O</w:t>
      </w:r>
      <w:r w:rsidRPr="00FB5D9D">
        <w:rPr>
          <w:vertAlign w:val="subscript"/>
          <w:lang w:val="en-GB"/>
        </w:rPr>
        <w:t>2</w:t>
      </w:r>
      <w:r w:rsidRPr="00FB5D9D">
        <w:rPr>
          <w:lang w:val="en-GB"/>
        </w:rPr>
        <w:t>) configuration</w:t>
      </w:r>
      <w:r w:rsidRPr="00FB5D9D">
        <w:rPr>
          <w:rFonts w:ascii="Times New Roman" w:hAnsi="Times New Roman"/>
          <w:lang/>
        </w:rPr>
        <w:t>,</w:t>
      </w:r>
      <w:r w:rsidRPr="00FB5D9D">
        <w:rPr>
          <w:lang w:val="en-GB"/>
        </w:rPr>
        <w:t xml:space="preserve"> </w:t>
      </w:r>
      <w:r w:rsidRPr="00FB5D9D">
        <w:rPr>
          <w:rFonts w:ascii="Times New Roman" w:hAnsi="Times New Roman"/>
          <w:lang/>
        </w:rPr>
        <w:t>t</w:t>
      </w:r>
      <w:r w:rsidRPr="00FB5D9D">
        <w:rPr>
          <w:lang w:val="en-GB"/>
        </w:rPr>
        <w:t>he two main types of 1:1 M–O</w:t>
      </w:r>
      <w:r w:rsidRPr="00FB5D9D">
        <w:rPr>
          <w:vertAlign w:val="subscript"/>
          <w:lang w:val="en-GB"/>
        </w:rPr>
        <w:t>2</w:t>
      </w:r>
      <w:r w:rsidRPr="00FB5D9D">
        <w:rPr>
          <w:lang w:val="en-GB"/>
        </w:rPr>
        <w:t xml:space="preserve"> complexes are usually labelled superoxo and peroxo [</w:t>
      </w:r>
      <w:r w:rsidRPr="00FB5D9D">
        <w:rPr>
          <w:lang w:val="en-GB"/>
        </w:rPr>
        <w:fldChar w:fldCharType="begin"/>
      </w:r>
      <w:r w:rsidRPr="00FB5D9D">
        <w:rPr>
          <w:lang w:val="en-GB"/>
        </w:rPr>
        <w:instrText>REF _Ref82329070 \r \h</w:instrText>
      </w:r>
      <w:r w:rsidRPr="00FB5D9D">
        <w:rPr>
          <w:lang w:val="en-GB"/>
        </w:rPr>
      </w:r>
      <w:r>
        <w:rPr>
          <w:lang w:val="en-GB"/>
        </w:rPr>
        <w:instrText xml:space="preserve"> \* MERGEFORMAT </w:instrText>
      </w:r>
      <w:r w:rsidRPr="00FB5D9D">
        <w:rPr>
          <w:lang w:val="en-GB"/>
        </w:rPr>
        <w:fldChar w:fldCharType="separate"/>
      </w:r>
      <w:r w:rsidRPr="00FB5D9D">
        <w:rPr>
          <w:lang w:val="en-GB"/>
        </w:rPr>
        <w:t>57</w:t>
      </w:r>
      <w:r w:rsidRPr="00FB5D9D">
        <w:rPr>
          <w:lang w:val="en-GB"/>
        </w:rPr>
        <w:fldChar w:fldCharType="end"/>
      </w:r>
      <w:r w:rsidRPr="00FB5D9D">
        <w:rPr>
          <w:lang w:val="en-GB"/>
        </w:rPr>
        <w:t xml:space="preserve">]. </w:t>
      </w:r>
      <w:r w:rsidRPr="00FB5D9D">
        <w:rPr>
          <w:rFonts w:ascii="Times New Roman" w:hAnsi="Times New Roman"/>
          <w:lang/>
        </w:rPr>
        <w:t>The s</w:t>
      </w:r>
      <w:r w:rsidRPr="00FB5D9D">
        <w:rPr>
          <w:lang w:val="en-GB"/>
        </w:rPr>
        <w:t>uperoxo Co complexes are well structurally characterized [</w:t>
      </w:r>
      <w:r w:rsidRPr="00FB5D9D">
        <w:rPr>
          <w:lang w:val="en-GB"/>
        </w:rPr>
        <w:fldChar w:fldCharType="begin"/>
      </w:r>
      <w:r w:rsidRPr="00FB5D9D">
        <w:rPr>
          <w:lang w:val="en-GB"/>
        </w:rPr>
        <w:instrText>REF _Ref82329791 \r \h</w:instrText>
      </w:r>
      <w:r w:rsidRPr="00FB5D9D">
        <w:rPr>
          <w:lang w:val="en-GB"/>
        </w:rPr>
      </w:r>
      <w:r>
        <w:rPr>
          <w:lang w:val="en-GB"/>
        </w:rPr>
        <w:instrText xml:space="preserve"> \* MERGEFORMAT </w:instrText>
      </w:r>
      <w:r w:rsidRPr="00FB5D9D">
        <w:rPr>
          <w:lang w:val="en-GB"/>
        </w:rPr>
        <w:fldChar w:fldCharType="separate"/>
      </w:r>
      <w:r w:rsidRPr="00FB5D9D">
        <w:rPr>
          <w:lang w:val="en-GB"/>
        </w:rPr>
        <w:t>59</w:t>
      </w:r>
      <w:r w:rsidRPr="00FB5D9D">
        <w:rPr>
          <w:lang w:val="en-GB"/>
        </w:rPr>
        <w:fldChar w:fldCharType="end"/>
      </w:r>
      <w:r w:rsidRPr="00FB5D9D">
        <w:rPr>
          <w:lang w:val="en-GB"/>
        </w:rPr>
        <w:t>-</w:t>
      </w:r>
      <w:r w:rsidRPr="00FB5D9D">
        <w:rPr>
          <w:lang w:val="en-GB"/>
        </w:rPr>
        <w:fldChar w:fldCharType="begin"/>
      </w:r>
      <w:r w:rsidRPr="00FB5D9D">
        <w:rPr>
          <w:lang w:val="en-GB"/>
        </w:rPr>
        <w:instrText>REF _Ref82329811 \r \h</w:instrText>
      </w:r>
      <w:r w:rsidRPr="00FB5D9D">
        <w:rPr>
          <w:lang w:val="en-GB"/>
        </w:rPr>
      </w:r>
      <w:r>
        <w:rPr>
          <w:lang w:val="en-GB"/>
        </w:rPr>
        <w:instrText xml:space="preserve"> \* MERGEFORMAT </w:instrText>
      </w:r>
      <w:r w:rsidRPr="00FB5D9D">
        <w:rPr>
          <w:lang w:val="en-GB"/>
        </w:rPr>
        <w:fldChar w:fldCharType="separate"/>
      </w:r>
      <w:r w:rsidRPr="00FB5D9D">
        <w:rPr>
          <w:lang w:val="en-GB"/>
        </w:rPr>
        <w:t>65</w:t>
      </w:r>
      <w:r w:rsidRPr="00FB5D9D">
        <w:rPr>
          <w:lang w:val="en-GB"/>
        </w:rPr>
        <w:fldChar w:fldCharType="end"/>
      </w:r>
      <w:r w:rsidRPr="00FB5D9D">
        <w:rPr>
          <w:lang w:val="en-GB"/>
        </w:rPr>
        <w:t>] and Co–(</w:t>
      </w:r>
      <w:r w:rsidRPr="00FB5D9D">
        <w:rPr>
          <w:rFonts w:ascii="Symbol" w:eastAsia="Symbol" w:hAnsi="Symbol" w:cs="Symbol"/>
          <w:lang w:val="en-GB"/>
        </w:rPr>
        <w:t></w:t>
      </w:r>
      <w:r w:rsidRPr="00FB5D9D">
        <w:rPr>
          <w:vertAlign w:val="superscript"/>
          <w:lang w:val="en-GB"/>
        </w:rPr>
        <w:t>1</w:t>
      </w:r>
      <w:r w:rsidRPr="00FB5D9D">
        <w:rPr>
          <w:lang w:val="en-GB"/>
        </w:rPr>
        <w:t>-O</w:t>
      </w:r>
      <w:r w:rsidRPr="00FB5D9D">
        <w:rPr>
          <w:vertAlign w:val="subscript"/>
          <w:lang w:val="en-GB"/>
        </w:rPr>
        <w:t>2</w:t>
      </w:r>
      <w:r w:rsidRPr="00FB5D9D">
        <w:rPr>
          <w:lang w:val="en-GB"/>
        </w:rPr>
        <w:t>) and O–O BLs (</w:t>
      </w:r>
      <m:oMath>
        <m:r>
          <m:rPr>
            <m:sty m:val="p"/>
          </m:rPr>
          <w:rPr>
            <w:rFonts w:ascii="Cambria Math" w:hAnsi="Cambria Math"/>
          </w:rPr>
          <m:t>Co–</m:t>
        </m:r>
        <m:acc>
          <m:accPr>
            <m:chr m:val="^"/>
            <m:ctrlPr>
              <w:rPr>
                <w:rFonts w:ascii="Cambria Math" w:hAnsi="Cambria Math"/>
              </w:rPr>
            </m:ctrlPr>
          </m:accPr>
          <m:e>
            <m:r>
              <m:rPr>
                <m:sty m:val="p"/>
              </m:rPr>
              <w:rPr>
                <w:rFonts w:ascii="Cambria Math" w:hAnsi="Cambria Math"/>
              </w:rPr>
              <m:t>O</m:t>
            </m:r>
          </m:e>
        </m:acc>
        <m:r>
          <m:rPr>
            <m:sty m:val="p"/>
          </m:rPr>
          <w:rPr>
            <w:rFonts w:ascii="Cambria Math" w:hAnsi="Cambria Math"/>
          </w:rPr>
          <m:t>–O</m:t>
        </m:r>
      </m:oMath>
      <w:r w:rsidRPr="00FB5D9D">
        <w:rPr>
          <w:lang w:val="en-GB"/>
        </w:rPr>
        <w:t xml:space="preserve"> BA) rang</w:t>
      </w:r>
      <w:r w:rsidRPr="00FB5D9D">
        <w:rPr>
          <w:rFonts w:ascii="Times New Roman" w:hAnsi="Times New Roman"/>
          <w:lang/>
        </w:rPr>
        <w:t>ing</w:t>
      </w:r>
      <w:r w:rsidRPr="00FB5D9D">
        <w:rPr>
          <w:lang w:val="en-GB"/>
        </w:rPr>
        <w:t xml:space="preserve"> between 1.85–1.90 and 1.25–1.35 Å, respectively (115°–125°). </w:t>
      </w:r>
    </w:p>
    <w:p w:rsidR="00FB5D9D" w:rsidRPr="00FB5D9D" w:rsidRDefault="00FB5D9D" w:rsidP="00FB5D9D">
      <w:pPr>
        <w:pStyle w:val="MDPI31text"/>
        <w:rPr>
          <w:lang w:val="en-GB"/>
        </w:rPr>
      </w:pPr>
      <w:r w:rsidRPr="00FB5D9D">
        <w:rPr>
          <w:lang w:val="en-GB"/>
        </w:rPr>
        <w:t>Numerical experiments herein reported have been limited to the superoxo configuration [</w:t>
      </w:r>
      <w:r w:rsidRPr="00FB5D9D">
        <w:rPr>
          <w:lang w:val="en-GB"/>
        </w:rPr>
        <w:fldChar w:fldCharType="begin"/>
      </w:r>
      <w:r w:rsidRPr="00FB5D9D">
        <w:rPr>
          <w:lang w:val="en-GB"/>
        </w:rPr>
        <w:instrText>REF _Ref82088372 \r \h</w:instrText>
      </w:r>
      <w:r w:rsidRPr="00FB5D9D">
        <w:rPr>
          <w:lang w:val="en-GB"/>
        </w:rPr>
      </w:r>
      <w:r>
        <w:rPr>
          <w:lang w:val="en-GB"/>
        </w:rPr>
        <w:instrText xml:space="preserve"> \* MERGEFORMAT </w:instrText>
      </w:r>
      <w:r w:rsidRPr="00FB5D9D">
        <w:rPr>
          <w:lang w:val="en-GB"/>
        </w:rPr>
        <w:fldChar w:fldCharType="separate"/>
      </w:r>
      <w:r w:rsidRPr="00FB5D9D">
        <w:rPr>
          <w:lang w:val="en-GB"/>
        </w:rPr>
        <w:t>18</w:t>
      </w:r>
      <w:r w:rsidRPr="00FB5D9D">
        <w:rPr>
          <w:lang w:val="en-GB"/>
        </w:rPr>
        <w:fldChar w:fldCharType="end"/>
      </w:r>
      <w:r w:rsidRPr="00FB5D9D">
        <w:rPr>
          <w:lang w:val="en-GB"/>
        </w:rPr>
        <w:t>] for which both the HS (three unpaired electrons) and LS (one unpaired electron) states have been explored. Analogously to CoTPP–</w:t>
      </w:r>
      <w:r w:rsidRPr="00FB5D9D">
        <w:rPr>
          <w:vertAlign w:val="superscript"/>
          <w:lang w:val="en-GB"/>
        </w:rPr>
        <w:t>1</w:t>
      </w:r>
      <w:r w:rsidRPr="00FB5D9D">
        <w:rPr>
          <w:lang w:val="en-GB"/>
        </w:rPr>
        <w:t>L, the LS state appears more stable than the HS one (0.49 eV); moreover, the optimized Co–(</w:t>
      </w:r>
      <w:r w:rsidRPr="00FB5D9D">
        <w:rPr>
          <w:rFonts w:ascii="Symbol" w:eastAsia="Symbol" w:hAnsi="Symbol" w:cs="Symbol"/>
          <w:lang w:val="en-GB"/>
        </w:rPr>
        <w:t></w:t>
      </w:r>
      <w:r w:rsidRPr="00FB5D9D">
        <w:rPr>
          <w:vertAlign w:val="superscript"/>
          <w:lang w:val="en-GB"/>
        </w:rPr>
        <w:t>1</w:t>
      </w:r>
      <w:r w:rsidRPr="00FB5D9D">
        <w:rPr>
          <w:lang w:val="en-GB"/>
        </w:rPr>
        <w:t>-O</w:t>
      </w:r>
      <w:r w:rsidRPr="00FB5D9D">
        <w:rPr>
          <w:vertAlign w:val="subscript"/>
          <w:lang w:val="en-GB"/>
        </w:rPr>
        <w:t>2</w:t>
      </w:r>
      <w:r w:rsidRPr="00FB5D9D">
        <w:rPr>
          <w:lang w:val="en-GB"/>
        </w:rPr>
        <w:t xml:space="preserve">) BL and </w:t>
      </w:r>
      <m:oMath>
        <m:r>
          <m:rPr>
            <m:sty m:val="p"/>
          </m:rPr>
          <w:rPr>
            <w:rFonts w:ascii="Cambria Math" w:hAnsi="Cambria Math"/>
          </w:rPr>
          <m:t>Co–</m:t>
        </m:r>
        <m:acc>
          <m:accPr>
            <m:chr m:val="^"/>
            <m:ctrlPr>
              <w:rPr>
                <w:rFonts w:ascii="Cambria Math" w:hAnsi="Cambria Math"/>
              </w:rPr>
            </m:ctrlPr>
          </m:accPr>
          <m:e>
            <m:r>
              <m:rPr>
                <m:sty m:val="p"/>
              </m:rPr>
              <w:rPr>
                <w:rFonts w:ascii="Cambria Math" w:hAnsi="Cambria Math"/>
              </w:rPr>
              <m:t>O</m:t>
            </m:r>
          </m:e>
        </m:acc>
        <m:r>
          <m:rPr>
            <m:sty m:val="p"/>
          </m:rPr>
          <w:rPr>
            <w:rFonts w:ascii="Cambria Math" w:hAnsi="Cambria Math"/>
          </w:rPr>
          <m:t>–O</m:t>
        </m:r>
      </m:oMath>
      <w:r w:rsidRPr="00FB5D9D">
        <w:rPr>
          <w:lang w:val="en-GB"/>
        </w:rPr>
        <w:t xml:space="preserve"> BA (1.858 Å and 119.7°,</w:t>
      </w:r>
      <w:r w:rsidRPr="00FB5D9D">
        <w:rPr>
          <w:vertAlign w:val="superscript"/>
          <w:lang w:val="en-GB"/>
        </w:rPr>
        <w:t xml:space="preserve"> </w:t>
      </w:r>
      <w:r w:rsidRPr="00FB5D9D">
        <w:rPr>
          <w:lang w:val="en-GB"/>
        </w:rPr>
        <w:t>see Table S34 of the SM) perfectly fall in the above reported ranges (the optimized O–O BLs in the free molecule and in the (</w:t>
      </w:r>
      <w:r w:rsidRPr="00FB5D9D">
        <w:rPr>
          <w:rFonts w:ascii="Symbol" w:eastAsia="Symbol" w:hAnsi="Symbol" w:cs="Symbol"/>
          <w:lang w:val="en-GB"/>
        </w:rPr>
        <w:t></w:t>
      </w:r>
      <w:r w:rsidRPr="00FB5D9D">
        <w:rPr>
          <w:vertAlign w:val="superscript"/>
          <w:lang w:val="en-GB"/>
        </w:rPr>
        <w:t>1</w:t>
      </w:r>
      <w:r w:rsidRPr="00FB5D9D">
        <w:rPr>
          <w:lang w:val="en-GB"/>
        </w:rPr>
        <w:t>-O</w:t>
      </w:r>
      <w:r w:rsidRPr="00FB5D9D">
        <w:rPr>
          <w:vertAlign w:val="subscript"/>
          <w:lang w:val="en-GB"/>
        </w:rPr>
        <w:t>2</w:t>
      </w:r>
      <w:r w:rsidRPr="00FB5D9D">
        <w:rPr>
          <w:lang w:val="en-GB"/>
        </w:rPr>
        <w:t>) species are 1.235 and 1.286 Å, respectively). A thorough analysis of the CoTPP–(</w:t>
      </w:r>
      <w:r w:rsidRPr="00FB5D9D">
        <w:rPr>
          <w:rFonts w:ascii="Symbol" w:eastAsia="Symbol" w:hAnsi="Symbol" w:cs="Symbol"/>
          <w:lang w:val="en-GB"/>
        </w:rPr>
        <w:t></w:t>
      </w:r>
      <w:r w:rsidRPr="00FB5D9D">
        <w:rPr>
          <w:vertAlign w:val="superscript"/>
          <w:lang w:val="en-GB"/>
        </w:rPr>
        <w:t>1</w:t>
      </w:r>
      <w:r w:rsidRPr="00FB5D9D">
        <w:rPr>
          <w:lang w:val="en-GB"/>
        </w:rPr>
        <w:t>-O</w:t>
      </w:r>
      <w:r w:rsidRPr="00FB5D9D">
        <w:rPr>
          <w:vertAlign w:val="subscript"/>
          <w:lang w:val="en-GB"/>
        </w:rPr>
        <w:t>2</w:t>
      </w:r>
      <w:r w:rsidRPr="00FB5D9D">
        <w:rPr>
          <w:lang w:val="en-GB"/>
        </w:rPr>
        <w:t>) electronic structure reveals that, similarly to CoTPP–NO</w:t>
      </w:r>
      <w:r w:rsidRPr="00FB5D9D">
        <w:rPr>
          <w:vertAlign w:val="subscript"/>
          <w:lang w:val="en-GB"/>
        </w:rPr>
        <w:t>2</w:t>
      </w:r>
      <w:r w:rsidRPr="00FB5D9D">
        <w:rPr>
          <w:lang w:val="en-GB"/>
        </w:rPr>
        <w:t>, the Co–(</w:t>
      </w:r>
      <w:r w:rsidRPr="00FB5D9D">
        <w:rPr>
          <w:rFonts w:ascii="Symbol" w:eastAsia="Symbol" w:hAnsi="Symbol" w:cs="Symbol"/>
          <w:lang w:val="en-GB"/>
        </w:rPr>
        <w:t></w:t>
      </w:r>
      <w:r w:rsidRPr="00FB5D9D">
        <w:rPr>
          <w:vertAlign w:val="superscript"/>
          <w:lang w:val="en-GB"/>
        </w:rPr>
        <w:t>1</w:t>
      </w:r>
      <w:r w:rsidRPr="00FB5D9D">
        <w:rPr>
          <w:lang w:val="en-GB"/>
        </w:rPr>
        <w:t>-O</w:t>
      </w:r>
      <w:r w:rsidRPr="00FB5D9D">
        <w:rPr>
          <w:vertAlign w:val="subscript"/>
          <w:lang w:val="en-GB"/>
        </w:rPr>
        <w:t>2</w:t>
      </w:r>
      <w:r w:rsidRPr="00FB5D9D">
        <w:rPr>
          <w:lang w:val="en-GB"/>
        </w:rPr>
        <w:t>) bonding is accompanied by the Co</w:t>
      </w:r>
      <w:r w:rsidRPr="00FB5D9D">
        <w:rPr>
          <w:vertAlign w:val="superscript"/>
          <w:lang w:val="en-GB"/>
        </w:rPr>
        <w:t>II</w:t>
      </w:r>
      <w:r w:rsidRPr="00FB5D9D">
        <w:rPr>
          <w:lang w:val="en-GB"/>
        </w:rPr>
        <w:t xml:space="preserve"> </w:t>
      </w:r>
      <w:r w:rsidRPr="00FB5D9D">
        <w:rPr>
          <w:rFonts w:ascii="Symbol" w:eastAsia="Symbol" w:hAnsi="Symbol" w:cs="Symbol"/>
          <w:lang w:val="en-GB"/>
        </w:rPr>
        <w:t></w:t>
      </w:r>
      <w:r w:rsidRPr="00FB5D9D">
        <w:rPr>
          <w:lang w:val="en-GB"/>
        </w:rPr>
        <w:t xml:space="preserve"> Co</w:t>
      </w:r>
      <w:r w:rsidRPr="00FB5D9D">
        <w:rPr>
          <w:vertAlign w:val="superscript"/>
          <w:lang w:val="en-GB"/>
        </w:rPr>
        <w:t>III</w:t>
      </w:r>
      <w:r w:rsidRPr="00FB5D9D">
        <w:rPr>
          <w:lang w:val="en-GB"/>
        </w:rPr>
        <w:t xml:space="preserve"> oxidation with all but one spin orbitals reminiscent of the O</w:t>
      </w:r>
      <w:r w:rsidRPr="00FB5D9D">
        <w:rPr>
          <w:vertAlign w:val="subscript"/>
          <w:lang w:val="en-GB"/>
        </w:rPr>
        <w:t>2</w:t>
      </w:r>
      <w:r w:rsidRPr="00FB5D9D">
        <w:rPr>
          <w:lang w:val="en-GB"/>
        </w:rPr>
        <w:t xml:space="preserve"> </w:t>
      </w:r>
      <w:r w:rsidRPr="00FB5D9D">
        <w:rPr>
          <w:rFonts w:ascii="Symbol" w:eastAsia="Symbol" w:hAnsi="Symbol" w:cs="Symbol"/>
          <w:lang w:val="en-GB"/>
        </w:rPr>
        <w:t></w:t>
      </w:r>
      <w:r w:rsidRPr="00FB5D9D">
        <w:rPr>
          <w:vertAlign w:val="subscript"/>
          <w:lang w:val="en-GB"/>
        </w:rPr>
        <w:t>g</w:t>
      </w:r>
      <w:r w:rsidRPr="00FB5D9D">
        <w:rPr>
          <w:lang w:val="en-GB"/>
        </w:rPr>
        <w:t xml:space="preserve"> MOs [</w:t>
      </w:r>
      <w:r w:rsidRPr="00FB5D9D">
        <w:rPr>
          <w:lang w:val="en-GB"/>
        </w:rPr>
        <w:fldChar w:fldCharType="begin"/>
      </w:r>
      <w:r w:rsidRPr="00FB5D9D">
        <w:rPr>
          <w:lang w:val="en-GB"/>
        </w:rPr>
        <w:instrText>REF _Ref82330914 \r \h</w:instrText>
      </w:r>
      <w:r w:rsidRPr="00FB5D9D">
        <w:rPr>
          <w:lang w:val="en-GB"/>
        </w:rPr>
      </w:r>
      <w:r>
        <w:rPr>
          <w:lang w:val="en-GB"/>
        </w:rPr>
        <w:instrText xml:space="preserve"> \* MERGEFORMAT </w:instrText>
      </w:r>
      <w:r w:rsidRPr="00FB5D9D">
        <w:rPr>
          <w:lang w:val="en-GB"/>
        </w:rPr>
        <w:fldChar w:fldCharType="separate"/>
      </w:r>
      <w:r w:rsidRPr="00FB5D9D">
        <w:rPr>
          <w:lang w:val="en-GB"/>
        </w:rPr>
        <w:t>57</w:t>
      </w:r>
      <w:r w:rsidRPr="00FB5D9D">
        <w:rPr>
          <w:lang w:val="en-GB"/>
        </w:rPr>
        <w:fldChar w:fldCharType="end"/>
      </w:r>
      <w:r w:rsidRPr="00FB5D9D">
        <w:rPr>
          <w:lang w:val="en-GB"/>
        </w:rPr>
        <w:t xml:space="preserve">] (antibonding with respect to the O–O interaction) occupied; the fourth, </w:t>
      </w:r>
      <w:r w:rsidRPr="00FB5D9D">
        <w:rPr>
          <w:rFonts w:ascii="Symbol" w:eastAsia="Symbol" w:hAnsi="Symbol" w:cs="Symbol"/>
          <w:lang w:val="en-GB"/>
        </w:rPr>
        <w:t></w:t>
      </w:r>
      <w:r w:rsidRPr="00FB5D9D">
        <w:rPr>
          <w:vertAlign w:val="subscript"/>
          <w:lang w:val="en-GB"/>
        </w:rPr>
        <w:t>g</w:t>
      </w:r>
      <w:r w:rsidRPr="00FB5D9D">
        <w:rPr>
          <w:lang w:val="en-GB"/>
        </w:rPr>
        <w:t>-like unoccupied MO (VMO) corresponds to the CoTPP–(</w:t>
      </w:r>
      <w:r w:rsidRPr="00FB5D9D">
        <w:rPr>
          <w:rFonts w:ascii="Symbol" w:eastAsia="Symbol" w:hAnsi="Symbol" w:cs="Symbol"/>
          <w:lang w:val="en-GB"/>
        </w:rPr>
        <w:t></w:t>
      </w:r>
      <w:r w:rsidRPr="00FB5D9D">
        <w:rPr>
          <w:vertAlign w:val="superscript"/>
          <w:lang w:val="en-GB"/>
        </w:rPr>
        <w:t>1</w:t>
      </w:r>
      <w:r w:rsidRPr="00FB5D9D">
        <w:rPr>
          <w:lang w:val="en-GB"/>
        </w:rPr>
        <w:t>-O</w:t>
      </w:r>
      <w:r w:rsidRPr="00FB5D9D">
        <w:rPr>
          <w:vertAlign w:val="subscript"/>
          <w:lang w:val="en-GB"/>
        </w:rPr>
        <w:t>2</w:t>
      </w:r>
      <w:r w:rsidRPr="00FB5D9D">
        <w:rPr>
          <w:lang w:val="en-GB"/>
        </w:rPr>
        <w:t>) 51a" LUMO, completely localized (86%) on the spin down (</w:t>
      </w:r>
      <w:r w:rsidRPr="00FB5D9D">
        <w:rPr>
          <w:rFonts w:ascii="Symbol" w:eastAsia="Symbol" w:hAnsi="Symbol" w:cs="Symbol"/>
          <w:lang w:val="en-GB"/>
        </w:rPr>
        <w:t></w:t>
      </w:r>
      <w:r w:rsidRPr="00FB5D9D">
        <w:rPr>
          <w:lang w:val="en-GB"/>
        </w:rPr>
        <w:t>) component</w:t>
      </w:r>
      <w:r w:rsidRPr="00FB5D9D">
        <w:rPr>
          <w:rFonts w:ascii="Symbol" w:eastAsia="Symbol" w:hAnsi="Symbol" w:cs="Symbol"/>
          <w:lang w:val="en-GB"/>
        </w:rPr>
        <w:t></w:t>
      </w:r>
      <w:r w:rsidRPr="00FB5D9D">
        <w:rPr>
          <w:lang w:val="en-GB"/>
        </w:rPr>
        <w:t xml:space="preserve">of the </w:t>
      </w:r>
      <w:r w:rsidRPr="00FB5D9D">
        <w:rPr>
          <w:rFonts w:ascii="Symbol" w:eastAsia="Symbol" w:hAnsi="Symbol" w:cs="Symbol"/>
          <w:lang w:val="en-GB"/>
        </w:rPr>
        <w:t></w:t>
      </w:r>
      <w:r w:rsidRPr="00FB5D9D">
        <w:rPr>
          <w:vertAlign w:val="subscript"/>
          <w:lang w:val="en-GB"/>
        </w:rPr>
        <w:t>g</w:t>
      </w:r>
      <w:r w:rsidRPr="00FB5D9D">
        <w:rPr>
          <w:lang w:val="en-GB"/>
        </w:rPr>
        <w:t xml:space="preserve"> spin orbital </w:t>
      </w:r>
      <w:r w:rsidRPr="00FB5D9D">
        <w:rPr>
          <w:rFonts w:ascii="Symbol" w:eastAsia="Symbol" w:hAnsi="Symbol" w:cs="Symbol"/>
          <w:lang w:val="en-GB"/>
        </w:rPr>
        <w:t></w:t>
      </w:r>
      <w:r w:rsidRPr="00FB5D9D">
        <w:rPr>
          <w:lang w:val="en-GB"/>
        </w:rPr>
        <w:t xml:space="preserve"> to the symmetry plane (see Figure 2E). Consistently with such a picture, the Co spin density is negligible, and the single unpaired electron is completely localized on O</w:t>
      </w:r>
      <w:r w:rsidRPr="00FB5D9D">
        <w:rPr>
          <w:vertAlign w:val="subscript"/>
          <w:lang w:val="en-GB"/>
        </w:rPr>
        <w:t>2</w:t>
      </w:r>
      <w:r w:rsidRPr="00FB5D9D">
        <w:rPr>
          <w:lang w:val="en-GB"/>
        </w:rPr>
        <w:t xml:space="preserve"> (see Figure S3 of the SM). Interestingly, even though the number of unpaired electrons does not vary upon moving from CoTPP to CoTPP–(</w:t>
      </w:r>
      <w:r w:rsidRPr="00FB5D9D">
        <w:rPr>
          <w:rFonts w:ascii="Symbol" w:eastAsia="Symbol" w:hAnsi="Symbol" w:cs="Symbol"/>
          <w:lang w:val="en-GB"/>
        </w:rPr>
        <w:t></w:t>
      </w:r>
      <w:r w:rsidRPr="00FB5D9D">
        <w:rPr>
          <w:vertAlign w:val="superscript"/>
          <w:lang w:val="en-GB"/>
        </w:rPr>
        <w:t>1</w:t>
      </w:r>
      <w:r w:rsidRPr="00FB5D9D">
        <w:rPr>
          <w:lang w:val="en-GB"/>
        </w:rPr>
        <w:t>-O</w:t>
      </w:r>
      <w:r w:rsidRPr="00FB5D9D">
        <w:rPr>
          <w:vertAlign w:val="subscript"/>
          <w:lang w:val="en-GB"/>
        </w:rPr>
        <w:t>2</w:t>
      </w:r>
      <w:r w:rsidRPr="00FB5D9D">
        <w:rPr>
          <w:lang w:val="en-GB"/>
        </w:rPr>
        <w:t>) and no magnetization “switch off” is then expected (see Figure 2F), the spin configuration of the superoxo adduct is completely different from that of the pristine complex [</w:t>
      </w:r>
      <w:r w:rsidRPr="00FB5D9D">
        <w:rPr>
          <w:lang w:val="en-GB"/>
        </w:rPr>
        <w:fldChar w:fldCharType="begin"/>
      </w:r>
      <w:r w:rsidRPr="00FB5D9D">
        <w:rPr>
          <w:lang w:val="en-GB"/>
        </w:rPr>
        <w:instrText>REF _Ref82097156 \r \h</w:instrText>
      </w:r>
      <w:r w:rsidRPr="00FB5D9D">
        <w:rPr>
          <w:lang w:val="en-GB"/>
        </w:rPr>
      </w:r>
      <w:r>
        <w:rPr>
          <w:lang w:val="en-GB"/>
        </w:rPr>
        <w:instrText xml:space="preserve"> \* MERGEFORMAT </w:instrText>
      </w:r>
      <w:r w:rsidRPr="00FB5D9D">
        <w:rPr>
          <w:lang w:val="en-GB"/>
        </w:rPr>
        <w:fldChar w:fldCharType="separate"/>
      </w:r>
      <w:r w:rsidRPr="00FB5D9D">
        <w:rPr>
          <w:lang w:val="en-GB"/>
        </w:rPr>
        <w:t>33</w:t>
      </w:r>
      <w:r w:rsidRPr="00FB5D9D">
        <w:rPr>
          <w:lang w:val="en-GB"/>
        </w:rPr>
        <w:fldChar w:fldCharType="end"/>
      </w:r>
      <w:r w:rsidRPr="00FB5D9D">
        <w:rPr>
          <w:lang w:val="en-GB"/>
        </w:rPr>
        <w:t xml:space="preserve">].  </w:t>
      </w:r>
    </w:p>
    <w:p w:rsidR="00FB5D9D" w:rsidRPr="00FB5D9D" w:rsidRDefault="00FB5D9D" w:rsidP="00FB5D9D">
      <w:pPr>
        <w:pStyle w:val="MDPI31text"/>
        <w:ind w:firstLine="0"/>
        <w:rPr>
          <w:lang w:val="en-GB"/>
        </w:rPr>
      </w:pPr>
      <w:r w:rsidRPr="00FB5D9D">
        <w:rPr>
          <w:b/>
          <w:bCs/>
          <w:lang w:val="en-GB"/>
        </w:rPr>
        <w:t xml:space="preserve">3.3 CoTPP–L adducts on Cu, Ag and Au substrates: the </w:t>
      </w:r>
      <w:r w:rsidRPr="00FB5D9D">
        <w:rPr>
          <w:b/>
          <w:bCs/>
          <w:i/>
          <w:lang w:val="en-GB"/>
        </w:rPr>
        <w:t>trans</w:t>
      </w:r>
      <w:r w:rsidRPr="00FB5D9D">
        <w:rPr>
          <w:b/>
          <w:bCs/>
          <w:lang w:val="en-GB"/>
        </w:rPr>
        <w:t>-effect</w:t>
      </w:r>
      <w:r w:rsidRPr="00FB5D9D">
        <w:rPr>
          <w:lang w:val="en-GB"/>
        </w:rPr>
        <w:t>. Theoretical results pertinent to the MS–CoTPP clusters and the CoTPP–L adducts confirm that simple, tiny, and computationally unexpensive models may be adopted to get information about the magnetic behaviour of CoTPP upon chemisorption on coinage metals as well as on perturbations induced by the coordination of</w:t>
      </w:r>
      <w:r w:rsidRPr="00FB5D9D">
        <w:rPr>
          <w:vertAlign w:val="superscript"/>
          <w:lang w:val="en-GB"/>
        </w:rPr>
        <w:t xml:space="preserve"> </w:t>
      </w:r>
      <w:r w:rsidRPr="00FB5D9D">
        <w:rPr>
          <w:i/>
          <w:iCs/>
          <w:vertAlign w:val="superscript"/>
          <w:lang w:val="en-GB"/>
        </w:rPr>
        <w:t>k</w:t>
      </w:r>
      <w:r w:rsidRPr="00FB5D9D">
        <w:rPr>
          <w:lang w:val="en-GB"/>
        </w:rPr>
        <w:t>L</w:t>
      </w:r>
      <w:r w:rsidRPr="00FB5D9D">
        <w:rPr>
          <w:vertAlign w:val="superscript"/>
          <w:lang w:val="en-GB"/>
        </w:rPr>
        <w:t xml:space="preserve"> </w:t>
      </w:r>
      <w:r w:rsidRPr="00FB5D9D">
        <w:rPr>
          <w:lang w:val="en-GB"/>
        </w:rPr>
        <w:t>(</w:t>
      </w:r>
      <w:r w:rsidRPr="00FB5D9D">
        <w:rPr>
          <w:i/>
          <w:iCs/>
          <w:lang w:val="en-GB"/>
        </w:rPr>
        <w:t xml:space="preserve">k </w:t>
      </w:r>
      <w:r w:rsidRPr="00FB5D9D">
        <w:rPr>
          <w:lang w:val="en-GB"/>
        </w:rPr>
        <w:t xml:space="preserve">= 0, 1, and 2) on the CoTPP frontier orbitals. The feasibility testing of the same approach to explore the effects induced at the same time by chemisorption and coordination on the CoTPP electronic structure is then challenging on one </w:t>
      </w:r>
      <w:r w:rsidRPr="00FB5D9D">
        <w:rPr>
          <w:rFonts w:ascii="Times New Roman" w:hAnsi="Times New Roman"/>
          <w:lang/>
        </w:rPr>
        <w:t>hand</w:t>
      </w:r>
      <w:r w:rsidRPr="00FB5D9D">
        <w:rPr>
          <w:lang w:val="en-GB"/>
        </w:rPr>
        <w:t xml:space="preserve"> and appealing in terms of computational costs on the other </w:t>
      </w:r>
      <w:r w:rsidRPr="00FB5D9D">
        <w:rPr>
          <w:rFonts w:ascii="Times New Roman" w:hAnsi="Times New Roman"/>
          <w:lang/>
        </w:rPr>
        <w:t>hand</w:t>
      </w:r>
      <w:r w:rsidRPr="00FB5D9D">
        <w:rPr>
          <w:lang w:val="en-GB"/>
        </w:rPr>
        <w:t xml:space="preserve">. As </w:t>
      </w:r>
      <w:r w:rsidRPr="00FB5D9D">
        <w:rPr>
          <w:rFonts w:ascii="Times New Roman" w:hAnsi="Times New Roman"/>
          <w:lang/>
        </w:rPr>
        <w:t>a result</w:t>
      </w:r>
      <w:r w:rsidRPr="00FB5D9D">
        <w:rPr>
          <w:lang w:val="en-GB"/>
        </w:rPr>
        <w:t xml:space="preserve">, it may be useful to remind that, </w:t>
      </w:r>
      <w:r w:rsidRPr="00FB5D9D">
        <w:rPr>
          <w:rFonts w:ascii="Times New Roman" w:hAnsi="Times New Roman"/>
          <w:lang/>
        </w:rPr>
        <w:t>while</w:t>
      </w:r>
      <w:r w:rsidRPr="00FB5D9D">
        <w:rPr>
          <w:lang w:val="en-GB"/>
        </w:rPr>
        <w:t xml:space="preserve"> both experimental and theoretical data are available in literature, latter studies have been mostly carried out by adopting periodic </w:t>
      </w:r>
      <w:r w:rsidRPr="00FB5D9D">
        <w:rPr>
          <w:lang w:val="en-GB"/>
        </w:rPr>
        <w:lastRenderedPageBreak/>
        <w:t>calculations [</w:t>
      </w:r>
      <w:r w:rsidRPr="00FB5D9D">
        <w:rPr>
          <w:lang w:val="en-GB"/>
        </w:rPr>
        <w:fldChar w:fldCharType="begin"/>
      </w:r>
      <w:r w:rsidRPr="00FB5D9D">
        <w:rPr>
          <w:lang w:val="en-GB"/>
        </w:rPr>
        <w:instrText>REF _Ref82088372 \r \h</w:instrText>
      </w:r>
      <w:r w:rsidRPr="00FB5D9D">
        <w:rPr>
          <w:lang w:val="en-GB"/>
        </w:rPr>
      </w:r>
      <w:r>
        <w:rPr>
          <w:lang w:val="en-GB"/>
        </w:rPr>
        <w:instrText xml:space="preserve"> \* MERGEFORMAT </w:instrText>
      </w:r>
      <w:r w:rsidRPr="00FB5D9D">
        <w:rPr>
          <w:lang w:val="en-GB"/>
        </w:rPr>
        <w:fldChar w:fldCharType="separate"/>
      </w:r>
      <w:r w:rsidRPr="00FB5D9D">
        <w:rPr>
          <w:lang w:val="en-GB"/>
        </w:rPr>
        <w:t>18</w:t>
      </w:r>
      <w:r w:rsidRPr="00FB5D9D">
        <w:rPr>
          <w:lang w:val="en-GB"/>
        </w:rPr>
        <w:fldChar w:fldCharType="end"/>
      </w:r>
      <w:r w:rsidRPr="00FB5D9D">
        <w:rPr>
          <w:lang w:val="en-GB"/>
        </w:rPr>
        <w:t>,</w:t>
      </w:r>
      <w:r w:rsidRPr="00FB5D9D">
        <w:rPr>
          <w:lang w:val="en-GB"/>
        </w:rPr>
        <w:fldChar w:fldCharType="begin"/>
      </w:r>
      <w:r w:rsidRPr="00FB5D9D">
        <w:rPr>
          <w:lang w:val="en-GB"/>
        </w:rPr>
        <w:instrText>REF _Ref82088965 \r \h</w:instrText>
      </w:r>
      <w:r w:rsidRPr="00FB5D9D">
        <w:rPr>
          <w:lang w:val="en-GB"/>
        </w:rPr>
      </w:r>
      <w:r>
        <w:rPr>
          <w:lang w:val="en-GB"/>
        </w:rPr>
        <w:instrText xml:space="preserve"> \* MERGEFORMAT </w:instrText>
      </w:r>
      <w:r w:rsidRPr="00FB5D9D">
        <w:rPr>
          <w:lang w:val="en-GB"/>
        </w:rPr>
        <w:fldChar w:fldCharType="separate"/>
      </w:r>
      <w:r w:rsidRPr="00FB5D9D">
        <w:rPr>
          <w:lang w:val="en-GB"/>
        </w:rPr>
        <w:t>21</w:t>
      </w:r>
      <w:r w:rsidRPr="00FB5D9D">
        <w:rPr>
          <w:lang w:val="en-GB"/>
        </w:rPr>
        <w:fldChar w:fldCharType="end"/>
      </w:r>
      <w:r w:rsidRPr="00FB5D9D">
        <w:rPr>
          <w:lang w:val="en-GB"/>
        </w:rPr>
        <w:t>,</w:t>
      </w:r>
      <w:r w:rsidRPr="00FB5D9D">
        <w:rPr>
          <w:lang w:val="en-GB"/>
        </w:rPr>
        <w:fldChar w:fldCharType="begin"/>
      </w:r>
      <w:r w:rsidRPr="00FB5D9D">
        <w:rPr>
          <w:lang w:val="en-GB"/>
        </w:rPr>
        <w:instrText xml:space="preserve"> REF _Ref82088877 \r \h </w:instrText>
      </w:r>
      <w:r w:rsidRPr="00FB5D9D">
        <w:rPr>
          <w:lang w:val="en-GB"/>
        </w:rPr>
      </w:r>
      <w:r>
        <w:rPr>
          <w:lang w:val="en-GB"/>
        </w:rPr>
        <w:instrText xml:space="preserve"> \* MERGEFORMAT </w:instrText>
      </w:r>
      <w:r w:rsidRPr="00FB5D9D">
        <w:rPr>
          <w:lang w:val="en-GB"/>
        </w:rPr>
        <w:fldChar w:fldCharType="separate"/>
      </w:r>
      <w:r w:rsidRPr="00FB5D9D">
        <w:rPr>
          <w:lang w:val="en-GB"/>
        </w:rPr>
        <w:t>23</w:t>
      </w:r>
      <w:r w:rsidRPr="00FB5D9D">
        <w:rPr>
          <w:lang w:val="en-GB"/>
        </w:rPr>
        <w:fldChar w:fldCharType="end"/>
      </w:r>
      <w:r w:rsidRPr="00FB5D9D">
        <w:rPr>
          <w:lang w:val="en-GB"/>
        </w:rPr>
        <w:t>-</w:t>
      </w:r>
      <w:r w:rsidRPr="00FB5D9D">
        <w:rPr>
          <w:lang w:val="en-GB"/>
        </w:rPr>
        <w:fldChar w:fldCharType="begin"/>
      </w:r>
      <w:r w:rsidRPr="00FB5D9D">
        <w:rPr>
          <w:lang w:val="en-GB"/>
        </w:rPr>
        <w:instrText>REF _Ref82089106 \r \h</w:instrText>
      </w:r>
      <w:r w:rsidRPr="00FB5D9D">
        <w:rPr>
          <w:lang w:val="en-GB"/>
        </w:rPr>
      </w:r>
      <w:r>
        <w:rPr>
          <w:lang w:val="en-GB"/>
        </w:rPr>
        <w:instrText xml:space="preserve"> \* MERGEFORMAT </w:instrText>
      </w:r>
      <w:r w:rsidRPr="00FB5D9D">
        <w:rPr>
          <w:lang w:val="en-GB"/>
        </w:rPr>
        <w:fldChar w:fldCharType="separate"/>
      </w:r>
      <w:r w:rsidRPr="00FB5D9D">
        <w:rPr>
          <w:lang w:val="en-GB"/>
        </w:rPr>
        <w:t>25</w:t>
      </w:r>
      <w:r w:rsidRPr="00FB5D9D">
        <w:rPr>
          <w:lang w:val="en-GB"/>
        </w:rPr>
        <w:fldChar w:fldCharType="end"/>
      </w:r>
      <w:r w:rsidRPr="00FB5D9D">
        <w:rPr>
          <w:lang w:val="en-GB"/>
        </w:rPr>
        <w:t>,</w:t>
      </w:r>
      <w:r w:rsidRPr="00FB5D9D">
        <w:rPr>
          <w:lang w:val="en-GB"/>
        </w:rPr>
        <w:fldChar w:fldCharType="begin"/>
      </w:r>
      <w:r w:rsidRPr="00FB5D9D">
        <w:rPr>
          <w:lang w:val="en-GB"/>
        </w:rPr>
        <w:instrText>REF _Ref82097156 \r \h</w:instrText>
      </w:r>
      <w:r w:rsidRPr="00FB5D9D">
        <w:rPr>
          <w:lang w:val="en-GB"/>
        </w:rPr>
      </w:r>
      <w:r>
        <w:rPr>
          <w:lang w:val="en-GB"/>
        </w:rPr>
        <w:instrText xml:space="preserve"> \* MERGEFORMAT </w:instrText>
      </w:r>
      <w:r w:rsidRPr="00FB5D9D">
        <w:rPr>
          <w:lang w:val="en-GB"/>
        </w:rPr>
        <w:fldChar w:fldCharType="separate"/>
      </w:r>
      <w:r w:rsidRPr="00FB5D9D">
        <w:rPr>
          <w:lang w:val="en-GB"/>
        </w:rPr>
        <w:t>33</w:t>
      </w:r>
      <w:r w:rsidRPr="00FB5D9D">
        <w:rPr>
          <w:lang w:val="en-GB"/>
        </w:rPr>
        <w:fldChar w:fldCharType="end"/>
      </w:r>
      <w:r w:rsidRPr="00FB5D9D">
        <w:rPr>
          <w:lang w:val="en-GB"/>
        </w:rPr>
        <w:t>,</w:t>
      </w:r>
      <w:r w:rsidRPr="00FB5D9D">
        <w:rPr>
          <w:lang w:val="en-GB"/>
        </w:rPr>
        <w:fldChar w:fldCharType="begin"/>
      </w:r>
      <w:r w:rsidRPr="00FB5D9D">
        <w:rPr>
          <w:lang w:val="en-GB"/>
        </w:rPr>
        <w:instrText xml:space="preserve"> REF _Ref87352946 \r \h </w:instrText>
      </w:r>
      <w:r w:rsidRPr="00FB5D9D">
        <w:rPr>
          <w:lang w:val="en-GB"/>
        </w:rPr>
      </w:r>
      <w:r>
        <w:rPr>
          <w:lang w:val="en-GB"/>
        </w:rPr>
        <w:instrText xml:space="preserve"> \* MERGEFORMAT </w:instrText>
      </w:r>
      <w:r w:rsidRPr="00FB5D9D">
        <w:rPr>
          <w:lang w:val="en-GB"/>
        </w:rPr>
        <w:fldChar w:fldCharType="separate"/>
      </w:r>
      <w:r w:rsidRPr="00FB5D9D">
        <w:rPr>
          <w:lang w:val="en-GB"/>
        </w:rPr>
        <w:t>66</w:t>
      </w:r>
      <w:r w:rsidRPr="00FB5D9D">
        <w:rPr>
          <w:lang w:val="en-GB"/>
        </w:rPr>
        <w:fldChar w:fldCharType="end"/>
      </w:r>
      <w:r w:rsidRPr="00FB5D9D">
        <w:rPr>
          <w:lang w:val="en-GB"/>
        </w:rPr>
        <w:t>,</w:t>
      </w:r>
      <w:r w:rsidRPr="00FB5D9D">
        <w:rPr>
          <w:lang w:val="en-GB"/>
        </w:rPr>
        <w:fldChar w:fldCharType="begin"/>
      </w:r>
      <w:r w:rsidRPr="00FB5D9D">
        <w:rPr>
          <w:lang w:val="en-GB"/>
        </w:rPr>
        <w:instrText xml:space="preserve"> REF _Ref87352948 \r \h </w:instrText>
      </w:r>
      <w:r w:rsidRPr="00FB5D9D">
        <w:rPr>
          <w:lang w:val="en-GB"/>
        </w:rPr>
      </w:r>
      <w:r>
        <w:rPr>
          <w:lang w:val="en-GB"/>
        </w:rPr>
        <w:instrText xml:space="preserve"> \* MERGEFORMAT </w:instrText>
      </w:r>
      <w:r w:rsidRPr="00FB5D9D">
        <w:rPr>
          <w:lang w:val="en-GB"/>
        </w:rPr>
        <w:fldChar w:fldCharType="separate"/>
      </w:r>
      <w:r w:rsidRPr="00FB5D9D">
        <w:rPr>
          <w:lang w:val="en-GB"/>
        </w:rPr>
        <w:t>67</w:t>
      </w:r>
      <w:r w:rsidRPr="00FB5D9D">
        <w:rPr>
          <w:lang w:val="en-GB"/>
        </w:rPr>
        <w:fldChar w:fldCharType="end"/>
      </w:r>
      <w:r w:rsidRPr="00FB5D9D">
        <w:rPr>
          <w:lang w:val="en-GB"/>
        </w:rPr>
        <w:t xml:space="preserve">]. </w:t>
      </w:r>
      <w:r w:rsidRPr="00FB5D9D">
        <w:rPr>
          <w:rFonts w:ascii="Times New Roman" w:hAnsi="Times New Roman"/>
          <w:lang/>
        </w:rPr>
        <w:t>The n</w:t>
      </w:r>
      <w:r w:rsidRPr="00FB5D9D">
        <w:rPr>
          <w:lang w:val="en-GB"/>
        </w:rPr>
        <w:t xml:space="preserve">ature, symmetry, and strength of the surface </w:t>
      </w:r>
      <w:r w:rsidRPr="00FB5D9D">
        <w:rPr>
          <w:i/>
          <w:lang w:val="en-GB"/>
        </w:rPr>
        <w:t>trans</w:t>
      </w:r>
      <w:r w:rsidRPr="00FB5D9D">
        <w:rPr>
          <w:lang w:val="en-GB"/>
        </w:rPr>
        <w:t xml:space="preserve">-effect characterizing </w:t>
      </w:r>
      <w:r w:rsidRPr="00FB5D9D">
        <w:rPr>
          <w:rFonts w:ascii="Times New Roman" w:hAnsi="Times New Roman"/>
          <w:lang/>
        </w:rPr>
        <w:t>the different</w:t>
      </w:r>
      <w:r w:rsidRPr="00FB5D9D">
        <w:rPr>
          <w:lang w:val="en-GB"/>
        </w:rPr>
        <w:t xml:space="preserve"> S–CoTPP–L interphases have been herein investigated by adopting the MS–CoTPP–L clusters, representative of the L interaction with CoTPP deposited on S. MS–CoTPP–L theoretical outcomes have been then compared with literature experimental and/or theoretical data when available.  </w:t>
      </w:r>
    </w:p>
    <w:p w:rsidR="00FB5D9D" w:rsidRPr="00FB5D9D" w:rsidRDefault="00FB5D9D" w:rsidP="00FB5D9D">
      <w:pPr>
        <w:pStyle w:val="MDPI31text"/>
        <w:rPr>
          <w:lang w:val="en-GB"/>
        </w:rPr>
      </w:pPr>
      <w:r w:rsidRPr="00FB5D9D">
        <w:rPr>
          <w:lang w:val="en-GB"/>
        </w:rPr>
        <w:t>MS–CoTPP–</w:t>
      </w:r>
      <w:r w:rsidRPr="00FB5D9D">
        <w:rPr>
          <w:vertAlign w:val="superscript"/>
          <w:lang w:val="en-GB"/>
        </w:rPr>
        <w:t>0</w:t>
      </w:r>
      <w:r w:rsidRPr="00FB5D9D">
        <w:rPr>
          <w:lang w:val="en-GB"/>
        </w:rPr>
        <w:t>L</w:t>
      </w:r>
      <w:r w:rsidRPr="00FB5D9D">
        <w:rPr>
          <w:vertAlign w:val="subscript"/>
          <w:lang w:val="en-GB"/>
        </w:rPr>
        <w:t xml:space="preserve"> </w:t>
      </w:r>
      <w:r w:rsidRPr="00FB5D9D">
        <w:rPr>
          <w:lang w:val="en-GB"/>
        </w:rPr>
        <w:t xml:space="preserve">results have several common features for both the </w:t>
      </w:r>
      <w:r w:rsidRPr="00FB5D9D">
        <w:rPr>
          <w:vertAlign w:val="superscript"/>
          <w:lang w:val="en-GB"/>
        </w:rPr>
        <w:t>0</w:t>
      </w:r>
      <w:r w:rsidRPr="00FB5D9D">
        <w:rPr>
          <w:lang w:val="en-GB"/>
        </w:rPr>
        <w:t xml:space="preserve">L herein considered, the most relevant being: i) the MS–CoTPP–CO </w:t>
      </w:r>
      <w:r w:rsidRPr="00FB5D9D">
        <w:t xml:space="preserve">LS state (no unpaired electron) is more stable than the HS one (two unpaired electrons) by 0.58, 0.52, and 0.70 eV for MS = Cu, Ag and Au, respectively; </w:t>
      </w:r>
      <w:r w:rsidRPr="00FB5D9D">
        <w:rPr>
          <w:lang w:val="en-GB"/>
        </w:rPr>
        <w:t>ii) similarly, the MS–CoTPP–NH</w:t>
      </w:r>
      <w:r w:rsidRPr="00FB5D9D">
        <w:rPr>
          <w:vertAlign w:val="subscript"/>
          <w:lang w:val="en-GB"/>
        </w:rPr>
        <w:t>3</w:t>
      </w:r>
      <w:r w:rsidRPr="00FB5D9D">
        <w:rPr>
          <w:lang w:val="en-GB"/>
        </w:rPr>
        <w:t xml:space="preserve"> </w:t>
      </w:r>
      <w:r w:rsidRPr="00FB5D9D">
        <w:t xml:space="preserve">LS state is more stable than the HS one by 0.77, 0.61, and 0.82 eV for MS = Cu, Ag and Au, respectively; iii) both the MS–Co and the Co–C/N </w:t>
      </w:r>
      <w:r w:rsidRPr="00FB5D9D">
        <w:rPr>
          <w:i/>
        </w:rPr>
        <w:t>BEs</w:t>
      </w:r>
      <w:r w:rsidRPr="00FB5D9D">
        <w:t xml:space="preserve"> </w:t>
      </w:r>
      <w:r w:rsidRPr="00FB5D9D">
        <w:rPr>
          <w:lang w:val="en-GB"/>
        </w:rPr>
        <w:t>decrease upon moving from MS–CoTPP and CoTPP–</w:t>
      </w:r>
      <w:r w:rsidRPr="00FB5D9D">
        <w:rPr>
          <w:vertAlign w:val="superscript"/>
          <w:lang w:val="en-GB"/>
        </w:rPr>
        <w:t>0</w:t>
      </w:r>
      <w:r w:rsidRPr="00FB5D9D">
        <w:rPr>
          <w:lang w:val="en-GB"/>
        </w:rPr>
        <w:t>L to MS–CoTPP–</w:t>
      </w:r>
      <w:r w:rsidRPr="00FB5D9D">
        <w:rPr>
          <w:vertAlign w:val="superscript"/>
          <w:lang w:val="en-GB"/>
        </w:rPr>
        <w:t>0</w:t>
      </w:r>
      <w:r w:rsidRPr="00FB5D9D">
        <w:rPr>
          <w:lang w:val="en-GB"/>
        </w:rPr>
        <w:t>L (Tables S31, S32, S35, S36 of the SM); iv) both the MS–Co and the Co–C/N BLs increase upon moving from MS–CoTPP and CoTPP–</w:t>
      </w:r>
      <w:r w:rsidRPr="00FB5D9D">
        <w:rPr>
          <w:vertAlign w:val="superscript"/>
          <w:lang w:val="en-GB"/>
        </w:rPr>
        <w:t>0</w:t>
      </w:r>
      <w:r w:rsidRPr="00FB5D9D">
        <w:rPr>
          <w:lang w:val="en-GB"/>
        </w:rPr>
        <w:t>L to MS–CoTPP–</w:t>
      </w:r>
      <w:r w:rsidRPr="00FB5D9D">
        <w:rPr>
          <w:vertAlign w:val="superscript"/>
          <w:lang w:val="en-GB"/>
        </w:rPr>
        <w:t>0</w:t>
      </w:r>
      <w:r w:rsidRPr="00FB5D9D">
        <w:rPr>
          <w:lang w:val="en-GB"/>
        </w:rPr>
        <w:t>L for Cu and Ag (Tables S31, S32, S35, S36 of the SM</w:t>
      </w:r>
      <w:r w:rsidRPr="00FB5D9D" w:rsidDel="00E9483F">
        <w:rPr>
          <w:lang w:val="en-GB"/>
        </w:rPr>
        <w:t xml:space="preserve"> </w:t>
      </w:r>
      <w:r w:rsidRPr="00FB5D9D">
        <w:rPr>
          <w:lang w:val="en-GB"/>
        </w:rPr>
        <w:t xml:space="preserve">); v) the MS–Co interaction weakening induced by the </w:t>
      </w:r>
      <w:r w:rsidRPr="00FB5D9D">
        <w:rPr>
          <w:vertAlign w:val="superscript"/>
          <w:lang w:val="en-GB"/>
        </w:rPr>
        <w:t>0</w:t>
      </w:r>
      <w:r w:rsidRPr="00FB5D9D">
        <w:rPr>
          <w:lang w:val="en-GB"/>
        </w:rPr>
        <w:t>L coordination is accompanied by the MS</w:t>
      </w:r>
      <w:r w:rsidRPr="00FB5D9D">
        <w:rPr>
          <w:vertAlign w:val="superscript"/>
          <w:lang w:val="en-GB"/>
        </w:rPr>
        <w:t>I</w:t>
      </w:r>
      <w:r w:rsidRPr="00FB5D9D">
        <w:rPr>
          <w:lang w:val="en-GB"/>
        </w:rPr>
        <w:t xml:space="preserve"> + Co</w:t>
      </w:r>
      <w:r w:rsidRPr="00FB5D9D">
        <w:rPr>
          <w:vertAlign w:val="superscript"/>
          <w:lang w:val="en-GB"/>
        </w:rPr>
        <w:t>I</w:t>
      </w:r>
      <w:r w:rsidRPr="00FB5D9D">
        <w:rPr>
          <w:lang w:val="en-GB"/>
        </w:rPr>
        <w:t xml:space="preserve"> </w:t>
      </w:r>
      <w:r w:rsidRPr="00FB5D9D">
        <w:rPr>
          <w:rFonts w:ascii="Symbol" w:eastAsia="Symbol" w:hAnsi="Symbol" w:cs="Symbol"/>
          <w:lang w:val="en-GB"/>
        </w:rPr>
        <w:t></w:t>
      </w:r>
      <w:r w:rsidRPr="00FB5D9D">
        <w:rPr>
          <w:lang w:val="en-GB"/>
        </w:rPr>
        <w:t xml:space="preserve"> MS</w:t>
      </w:r>
      <w:r w:rsidRPr="00FB5D9D">
        <w:rPr>
          <w:vertAlign w:val="superscript"/>
          <w:lang w:val="en-GB"/>
        </w:rPr>
        <w:t>0</w:t>
      </w:r>
      <w:r w:rsidRPr="00FB5D9D">
        <w:rPr>
          <w:lang w:val="en-GB"/>
        </w:rPr>
        <w:t xml:space="preserve"> + Co</w:t>
      </w:r>
      <w:r w:rsidRPr="00FB5D9D">
        <w:rPr>
          <w:vertAlign w:val="superscript"/>
          <w:lang w:val="en-GB"/>
        </w:rPr>
        <w:t>II</w:t>
      </w:r>
      <w:r w:rsidRPr="00FB5D9D">
        <w:rPr>
          <w:lang w:val="en-GB"/>
        </w:rPr>
        <w:t xml:space="preserve"> redox reaction for MS = Cu and Ag; moreover, the MS–CoTPP–</w:t>
      </w:r>
      <w:r w:rsidRPr="00FB5D9D">
        <w:rPr>
          <w:vertAlign w:val="superscript"/>
          <w:lang w:val="en-GB"/>
        </w:rPr>
        <w:t>0</w:t>
      </w:r>
      <w:r w:rsidRPr="00FB5D9D">
        <w:rPr>
          <w:lang w:val="en-GB"/>
        </w:rPr>
        <w:t>L number of unpaired electrons (disregarding that localized on MS) mirrors the CoTPP–</w:t>
      </w:r>
      <w:r w:rsidRPr="00FB5D9D">
        <w:rPr>
          <w:vertAlign w:val="superscript"/>
          <w:lang w:val="en-GB"/>
        </w:rPr>
        <w:t>0</w:t>
      </w:r>
      <w:r w:rsidRPr="00FB5D9D">
        <w:rPr>
          <w:lang w:val="en-GB"/>
        </w:rPr>
        <w:t>L one. Incidentally, the doubly occupied MS–CoTPP–CO 30a</w:t>
      </w:r>
      <w:r w:rsidRPr="00FB5D9D">
        <w:rPr>
          <w:vertAlign w:val="subscript"/>
          <w:lang w:val="en-GB"/>
        </w:rPr>
        <w:t>1</w:t>
      </w:r>
      <w:r w:rsidRPr="00FB5D9D">
        <w:rPr>
          <w:lang w:val="en-GB"/>
        </w:rPr>
        <w:t xml:space="preserve"> HOMO (MS = Cu and Ag) is strongly localized on the MS (</w:t>
      </w:r>
      <w:r w:rsidRPr="00FB5D9D">
        <w:rPr>
          <w:i/>
          <w:lang w:val="en-GB"/>
        </w:rPr>
        <w:t>n</w:t>
      </w:r>
      <w:r w:rsidRPr="00FB5D9D">
        <w:rPr>
          <w:lang w:val="en-GB"/>
        </w:rPr>
        <w:t xml:space="preserve"> + 1)s/</w:t>
      </w:r>
      <w:r w:rsidRPr="00FB5D9D">
        <w:rPr>
          <w:i/>
          <w:lang w:val="en-GB"/>
        </w:rPr>
        <w:t>n</w:t>
      </w:r>
      <m:oMath>
        <m:sSub>
          <m:sSubPr>
            <m:ctrlPr>
              <w:rPr>
                <w:rFonts w:ascii="Cambria Math" w:hAnsi="Cambria Math"/>
                <w:i/>
                <w:lang w:val="en-GB"/>
              </w:rPr>
            </m:ctrlPr>
          </m:sSubPr>
          <m:e>
            <m:r>
              <m:rPr>
                <m:sty m:val="p"/>
              </m:rPr>
              <w:rPr>
                <w:rFonts w:ascii="Cambria Math" w:hAnsi="Cambria Math"/>
                <w:lang w:val="en-GB"/>
              </w:rPr>
              <m:t>d</m:t>
            </m:r>
          </m:e>
          <m:sub>
            <m:sSup>
              <m:sSupPr>
                <m:ctrlPr>
                  <w:rPr>
                    <w:rFonts w:ascii="Cambria Math" w:hAnsi="Cambria Math"/>
                    <w:i/>
                    <w:lang w:val="en-GB"/>
                  </w:rPr>
                </m:ctrlPr>
              </m:sSupPr>
              <m:e>
                <m:r>
                  <m:rPr>
                    <m:sty m:val="p"/>
                  </m:rPr>
                  <w:rPr>
                    <w:rFonts w:ascii="Cambria Math" w:hAnsi="Cambria Math"/>
                    <w:lang w:val="en-GB"/>
                  </w:rPr>
                  <m:t>z</m:t>
                </m:r>
              </m:e>
              <m:sup>
                <m:r>
                  <w:rPr>
                    <w:rFonts w:ascii="Cambria Math" w:hAnsi="Cambria Math"/>
                    <w:lang w:val="en-GB"/>
                  </w:rPr>
                  <m:t>2</m:t>
                </m:r>
              </m:sup>
            </m:sSup>
          </m:sub>
        </m:sSub>
      </m:oMath>
      <w:r w:rsidRPr="00FB5D9D">
        <w:rPr>
          <w:lang w:val="en-GB"/>
        </w:rPr>
        <w:t xml:space="preserve"> (</w:t>
      </w:r>
      <w:r w:rsidRPr="00FB5D9D">
        <w:rPr>
          <w:i/>
          <w:lang w:val="en-GB"/>
        </w:rPr>
        <w:t>n</w:t>
      </w:r>
      <w:r w:rsidRPr="00FB5D9D">
        <w:rPr>
          <w:lang w:val="en-GB"/>
        </w:rPr>
        <w:t xml:space="preserve"> = 3 and 4 for MS = Cu and Ag, respectively) AOs and the Co 3</w:t>
      </w:r>
      <m:oMath>
        <m:sSub>
          <m:sSubPr>
            <m:ctrlPr>
              <w:rPr>
                <w:rFonts w:ascii="Cambria Math" w:hAnsi="Cambria Math"/>
                <w:i/>
                <w:lang w:val="en-GB"/>
              </w:rPr>
            </m:ctrlPr>
          </m:sSubPr>
          <m:e>
            <m:r>
              <m:rPr>
                <m:sty m:val="p"/>
              </m:rPr>
              <w:rPr>
                <w:rFonts w:ascii="Cambria Math" w:hAnsi="Cambria Math"/>
                <w:lang w:val="en-GB"/>
              </w:rPr>
              <m:t>d</m:t>
            </m:r>
          </m:e>
          <m:sub>
            <m:sSup>
              <m:sSupPr>
                <m:ctrlPr>
                  <w:rPr>
                    <w:rFonts w:ascii="Cambria Math" w:hAnsi="Cambria Math"/>
                    <w:i/>
                    <w:lang w:val="en-GB"/>
                  </w:rPr>
                </m:ctrlPr>
              </m:sSupPr>
              <m:e>
                <m:r>
                  <m:rPr>
                    <m:sty m:val="p"/>
                  </m:rPr>
                  <w:rPr>
                    <w:rFonts w:ascii="Cambria Math" w:hAnsi="Cambria Math"/>
                    <w:lang w:val="en-GB"/>
                  </w:rPr>
                  <m:t>z</m:t>
                </m:r>
              </m:e>
              <m:sup>
                <m:r>
                  <w:rPr>
                    <w:rFonts w:ascii="Cambria Math" w:hAnsi="Cambria Math"/>
                    <w:lang w:val="en-GB"/>
                  </w:rPr>
                  <m:t>2</m:t>
                </m:r>
              </m:sup>
            </m:sSup>
          </m:sub>
        </m:sSub>
      </m:oMath>
      <w:r w:rsidRPr="00FB5D9D">
        <w:rPr>
          <w:lang w:val="en-GB"/>
        </w:rPr>
        <w:t xml:space="preserve"> AO, while the doubly occupied MS–CoTPP–NH</w:t>
      </w:r>
      <w:r w:rsidRPr="00FB5D9D">
        <w:rPr>
          <w:vertAlign w:val="subscript"/>
          <w:lang w:val="en-GB"/>
        </w:rPr>
        <w:t>3</w:t>
      </w:r>
      <w:r w:rsidRPr="00FB5D9D">
        <w:rPr>
          <w:lang w:val="en-GB"/>
        </w:rPr>
        <w:t xml:space="preserve"> 74a' HOMO (MS = Cu and Ag) is strongly concentrated on the MS (</w:t>
      </w:r>
      <w:r w:rsidRPr="00FB5D9D">
        <w:rPr>
          <w:i/>
          <w:lang w:val="en-GB"/>
        </w:rPr>
        <w:t xml:space="preserve">n </w:t>
      </w:r>
      <w:r w:rsidRPr="00FB5D9D">
        <w:rPr>
          <w:lang w:val="en-GB"/>
        </w:rPr>
        <w:t>+ 1)s/</w:t>
      </w:r>
      <w:r w:rsidRPr="00FB5D9D">
        <w:rPr>
          <w:i/>
          <w:lang w:val="en-GB"/>
        </w:rPr>
        <w:t>n</w:t>
      </w:r>
      <m:oMath>
        <m:sSub>
          <m:sSubPr>
            <m:ctrlPr>
              <w:rPr>
                <w:rFonts w:ascii="Cambria Math" w:hAnsi="Cambria Math"/>
                <w:i/>
                <w:lang w:val="en-GB"/>
              </w:rPr>
            </m:ctrlPr>
          </m:sSubPr>
          <m:e>
            <m:r>
              <m:rPr>
                <m:sty m:val="p"/>
              </m:rPr>
              <w:rPr>
                <w:rFonts w:ascii="Cambria Math" w:hAnsi="Cambria Math"/>
                <w:lang w:val="en-GB"/>
              </w:rPr>
              <m:t>d</m:t>
            </m:r>
          </m:e>
          <m:sub>
            <m:sSup>
              <m:sSupPr>
                <m:ctrlPr>
                  <w:rPr>
                    <w:rFonts w:ascii="Cambria Math" w:hAnsi="Cambria Math"/>
                    <w:i/>
                    <w:lang w:val="en-GB"/>
                  </w:rPr>
                </m:ctrlPr>
              </m:sSupPr>
              <m:e>
                <m:r>
                  <m:rPr>
                    <m:sty m:val="p"/>
                  </m:rPr>
                  <w:rPr>
                    <w:rFonts w:ascii="Cambria Math" w:hAnsi="Cambria Math"/>
                    <w:lang w:val="en-GB"/>
                  </w:rPr>
                  <m:t>z</m:t>
                </m:r>
              </m:e>
              <m:sup>
                <m:r>
                  <w:rPr>
                    <w:rFonts w:ascii="Cambria Math" w:hAnsi="Cambria Math"/>
                    <w:lang w:val="en-GB"/>
                  </w:rPr>
                  <m:t>2</m:t>
                </m:r>
              </m:sup>
            </m:sSup>
          </m:sub>
        </m:sSub>
      </m:oMath>
      <w:r w:rsidRPr="00FB5D9D">
        <w:rPr>
          <w:lang w:val="en-GB"/>
        </w:rPr>
        <w:t>/</w:t>
      </w:r>
      <w:r w:rsidRPr="00FB5D9D">
        <w:rPr>
          <w:i/>
          <w:lang w:val="en-GB"/>
        </w:rPr>
        <w:t>n</w:t>
      </w:r>
      <m:oMath>
        <m:sSub>
          <m:sSubPr>
            <m:ctrlPr>
              <w:rPr>
                <w:rFonts w:ascii="Cambria Math" w:hAnsi="Cambria Math"/>
                <w:i/>
                <w:lang w:val="en-GB"/>
              </w:rPr>
            </m:ctrlPr>
          </m:sSubPr>
          <m:e>
            <m:r>
              <m:rPr>
                <m:sty m:val="p"/>
              </m:rPr>
              <w:rPr>
                <w:rFonts w:ascii="Cambria Math" w:hAnsi="Cambria Math"/>
                <w:lang w:val="en-GB"/>
              </w:rPr>
              <m:t>d</m:t>
            </m:r>
          </m:e>
          <m:sub>
            <m:sSup>
              <m:sSupPr>
                <m:ctrlPr>
                  <w:rPr>
                    <w:rFonts w:ascii="Cambria Math" w:hAnsi="Cambria Math"/>
                    <w:i/>
                    <w:lang w:val="en-GB"/>
                  </w:rPr>
                </m:ctrlPr>
              </m:sSupPr>
              <m:e>
                <m:r>
                  <m:rPr>
                    <m:sty m:val="p"/>
                  </m:rPr>
                  <w:rPr>
                    <w:rFonts w:ascii="Cambria Math" w:hAnsi="Cambria Math"/>
                    <w:lang w:val="en-GB"/>
                  </w:rPr>
                  <m:t>x</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m:rPr>
                    <m:sty m:val="p"/>
                  </m:rPr>
                  <w:rPr>
                    <w:rFonts w:ascii="Cambria Math" w:hAnsi="Cambria Math"/>
                    <w:lang w:val="en-GB"/>
                  </w:rPr>
                  <m:t>y</m:t>
                </m:r>
              </m:e>
              <m:sup>
                <m:r>
                  <w:rPr>
                    <w:rFonts w:ascii="Cambria Math" w:hAnsi="Cambria Math"/>
                    <w:lang w:val="en-GB"/>
                  </w:rPr>
                  <m:t>2</m:t>
                </m:r>
              </m:sup>
            </m:sSup>
          </m:sub>
        </m:sSub>
      </m:oMath>
      <w:r w:rsidRPr="00FB5D9D">
        <w:rPr>
          <w:sz w:val="10"/>
          <w:lang w:val="en-GB"/>
        </w:rPr>
        <w:t xml:space="preserve"> </w:t>
      </w:r>
      <w:r w:rsidRPr="00FB5D9D">
        <w:rPr>
          <w:lang w:val="en-GB"/>
        </w:rPr>
        <w:t>(</w:t>
      </w:r>
      <w:r w:rsidRPr="00FB5D9D">
        <w:rPr>
          <w:i/>
          <w:lang w:val="en-GB"/>
        </w:rPr>
        <w:t>n</w:t>
      </w:r>
      <w:r w:rsidRPr="00FB5D9D">
        <w:rPr>
          <w:lang w:val="en-GB"/>
        </w:rPr>
        <w:t xml:space="preserve"> = 3 and 4 for MS = Cu and Ag, respectively) AOs and the Co 3</w:t>
      </w:r>
      <m:oMath>
        <m:sSub>
          <m:sSubPr>
            <m:ctrlPr>
              <w:rPr>
                <w:rFonts w:ascii="Cambria Math" w:hAnsi="Cambria Math"/>
                <w:i/>
                <w:lang w:val="en-GB"/>
              </w:rPr>
            </m:ctrlPr>
          </m:sSubPr>
          <m:e>
            <m:r>
              <m:rPr>
                <m:sty m:val="p"/>
              </m:rPr>
              <w:rPr>
                <w:rFonts w:ascii="Cambria Math" w:hAnsi="Cambria Math"/>
                <w:lang w:val="en-GB"/>
              </w:rPr>
              <m:t>d</m:t>
            </m:r>
          </m:e>
          <m:sub>
            <m:sSup>
              <m:sSupPr>
                <m:ctrlPr>
                  <w:rPr>
                    <w:rFonts w:ascii="Cambria Math" w:hAnsi="Cambria Math"/>
                    <w:i/>
                    <w:lang w:val="en-GB"/>
                  </w:rPr>
                </m:ctrlPr>
              </m:sSupPr>
              <m:e>
                <m:r>
                  <m:rPr>
                    <m:sty m:val="p"/>
                  </m:rPr>
                  <w:rPr>
                    <w:rFonts w:ascii="Cambria Math" w:hAnsi="Cambria Math"/>
                    <w:lang w:val="en-GB"/>
                  </w:rPr>
                  <m:t>z</m:t>
                </m:r>
              </m:e>
              <m:sup>
                <m:r>
                  <w:rPr>
                    <w:rFonts w:ascii="Cambria Math" w:hAnsi="Cambria Math"/>
                    <w:lang w:val="en-GB"/>
                  </w:rPr>
                  <m:t>2</m:t>
                </m:r>
              </m:sup>
            </m:sSup>
          </m:sub>
        </m:sSub>
      </m:oMath>
      <w:r w:rsidRPr="00FB5D9D">
        <w:rPr>
          <w:lang w:val="en-GB"/>
        </w:rPr>
        <w:t>/3</w:t>
      </w:r>
      <m:oMath>
        <m:sSub>
          <m:sSubPr>
            <m:ctrlPr>
              <w:rPr>
                <w:rFonts w:ascii="Cambria Math" w:hAnsi="Cambria Math"/>
                <w:i/>
                <w:lang w:val="en-GB"/>
              </w:rPr>
            </m:ctrlPr>
          </m:sSubPr>
          <m:e>
            <m:r>
              <m:rPr>
                <m:sty m:val="p"/>
              </m:rPr>
              <w:rPr>
                <w:rFonts w:ascii="Cambria Math" w:hAnsi="Cambria Math"/>
                <w:lang w:val="en-GB"/>
              </w:rPr>
              <m:t>d</m:t>
            </m:r>
          </m:e>
          <m:sub>
            <m:sSup>
              <m:sSupPr>
                <m:ctrlPr>
                  <w:rPr>
                    <w:rFonts w:ascii="Cambria Math" w:hAnsi="Cambria Math"/>
                    <w:i/>
                    <w:lang w:val="en-GB"/>
                  </w:rPr>
                </m:ctrlPr>
              </m:sSupPr>
              <m:e>
                <m:r>
                  <m:rPr>
                    <m:sty m:val="p"/>
                  </m:rPr>
                  <w:rPr>
                    <w:rFonts w:ascii="Cambria Math" w:hAnsi="Cambria Math"/>
                    <w:lang w:val="en-GB"/>
                  </w:rPr>
                  <m:t>x</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m:rPr>
                    <m:sty m:val="p"/>
                  </m:rPr>
                  <w:rPr>
                    <w:rFonts w:ascii="Cambria Math" w:hAnsi="Cambria Math"/>
                    <w:lang w:val="en-GB"/>
                  </w:rPr>
                  <m:t>y</m:t>
                </m:r>
              </m:e>
              <m:sup>
                <m:r>
                  <w:rPr>
                    <w:rFonts w:ascii="Cambria Math" w:hAnsi="Cambria Math"/>
                    <w:lang w:val="en-GB"/>
                  </w:rPr>
                  <m:t>2</m:t>
                </m:r>
              </m:sup>
            </m:sSup>
          </m:sub>
        </m:sSub>
      </m:oMath>
      <w:r w:rsidRPr="00FB5D9D">
        <w:rPr>
          <w:lang w:val="en-GB"/>
        </w:rPr>
        <w:t xml:space="preserve"> AOs. Incidentally, </w:t>
      </w:r>
      <w:r w:rsidRPr="00FB5D9D">
        <w:t>MS–CoTPP–CO theoretical outcomes perfectly agree with experimental [</w:t>
      </w:r>
      <w:r w:rsidRPr="00FB5D9D">
        <w:fldChar w:fldCharType="begin"/>
      </w:r>
      <w:r w:rsidRPr="00FB5D9D">
        <w:instrText xml:space="preserve"> REF _Ref87352948 \r \h </w:instrText>
      </w:r>
      <w:r>
        <w:instrText xml:space="preserve"> \* MERGEFORMAT </w:instrText>
      </w:r>
      <w:r w:rsidRPr="00FB5D9D">
        <w:fldChar w:fldCharType="separate"/>
      </w:r>
      <w:r w:rsidRPr="00FB5D9D">
        <w:t>67</w:t>
      </w:r>
      <w:r w:rsidRPr="00FB5D9D">
        <w:fldChar w:fldCharType="end"/>
      </w:r>
      <w:r w:rsidRPr="00FB5D9D">
        <w:t>] and theoretical [</w:t>
      </w:r>
      <w:r w:rsidRPr="00FB5D9D">
        <w:fldChar w:fldCharType="begin"/>
      </w:r>
      <w:r w:rsidRPr="00FB5D9D">
        <w:instrText xml:space="preserve"> REF _Ref82097156 \r \h </w:instrText>
      </w:r>
      <w:r>
        <w:instrText xml:space="preserve"> \* MERGEFORMAT </w:instrText>
      </w:r>
      <w:r w:rsidRPr="00FB5D9D">
        <w:fldChar w:fldCharType="separate"/>
      </w:r>
      <w:r w:rsidRPr="00FB5D9D">
        <w:t>33</w:t>
      </w:r>
      <w:r w:rsidRPr="00FB5D9D">
        <w:fldChar w:fldCharType="end"/>
      </w:r>
      <w:r w:rsidRPr="00FB5D9D">
        <w:t>] literature data.</w:t>
      </w:r>
    </w:p>
    <w:p w:rsidR="00FB5D9D" w:rsidRPr="00FB5D9D" w:rsidRDefault="00FB5D9D" w:rsidP="00FB5D9D">
      <w:pPr>
        <w:pStyle w:val="MDPI31text"/>
      </w:pPr>
      <w:r w:rsidRPr="00FB5D9D">
        <w:t>Even though Au–CoTPP–</w:t>
      </w:r>
      <w:r w:rsidRPr="00FB5D9D">
        <w:rPr>
          <w:vertAlign w:val="superscript"/>
        </w:rPr>
        <w:t>0</w:t>
      </w:r>
      <w:r w:rsidRPr="00FB5D9D">
        <w:t>L ADF results are also consistent with the presence of Co</w:t>
      </w:r>
      <w:r w:rsidRPr="00FB5D9D">
        <w:rPr>
          <w:vertAlign w:val="superscript"/>
        </w:rPr>
        <w:t>II</w:t>
      </w:r>
      <w:r w:rsidRPr="00FB5D9D">
        <w:t xml:space="preserve"> (3d</w:t>
      </w:r>
      <w:r w:rsidRPr="00FB5D9D">
        <w:rPr>
          <w:vertAlign w:val="superscript"/>
        </w:rPr>
        <w:t>7</w:t>
      </w:r>
      <w:r w:rsidRPr="00FB5D9D">
        <w:t>) and Au</w:t>
      </w:r>
      <w:r w:rsidRPr="00FB5D9D">
        <w:rPr>
          <w:vertAlign w:val="superscript"/>
        </w:rPr>
        <w:t>0</w:t>
      </w:r>
      <w:r w:rsidRPr="00FB5D9D">
        <w:t xml:space="preserve"> (5d</w:t>
      </w:r>
      <w:r w:rsidRPr="00FB5D9D">
        <w:rPr>
          <w:vertAlign w:val="superscript"/>
        </w:rPr>
        <w:t>10</w:t>
      </w:r>
      <w:r w:rsidRPr="00FB5D9D">
        <w:t>6s</w:t>
      </w:r>
      <w:r w:rsidRPr="00FB5D9D">
        <w:rPr>
          <w:vertAlign w:val="superscript"/>
        </w:rPr>
        <w:t>1</w:t>
      </w:r>
      <w:r w:rsidRPr="00FB5D9D">
        <w:t>) species, it must be remarked that no Co oxidation state variation takes place upon moving from Au–CoTPP to Au–CoTPP–</w:t>
      </w:r>
      <w:r w:rsidRPr="00FB5D9D">
        <w:rPr>
          <w:vertAlign w:val="superscript"/>
        </w:rPr>
        <w:t>0</w:t>
      </w:r>
      <w:r w:rsidRPr="00FB5D9D">
        <w:t>L: a consequence of the absence of any Co</w:t>
      </w:r>
      <w:r w:rsidRPr="00FB5D9D">
        <w:rPr>
          <w:vertAlign w:val="superscript"/>
        </w:rPr>
        <w:t>II</w:t>
      </w:r>
      <w:r w:rsidRPr="00FB5D9D">
        <w:rPr>
          <w:lang w:val="en-GB"/>
        </w:rPr>
        <w:t xml:space="preserve"> </w:t>
      </w:r>
      <w:r w:rsidRPr="00FB5D9D">
        <w:rPr>
          <w:rFonts w:ascii="Symbol" w:eastAsia="Symbol" w:hAnsi="Symbol" w:cs="Symbol"/>
          <w:lang w:val="en-GB"/>
        </w:rPr>
        <w:t></w:t>
      </w:r>
      <w:r w:rsidRPr="00FB5D9D">
        <w:rPr>
          <w:lang w:val="en-GB"/>
        </w:rPr>
        <w:t xml:space="preserve"> Co</w:t>
      </w:r>
      <w:r w:rsidRPr="00FB5D9D">
        <w:rPr>
          <w:vertAlign w:val="superscript"/>
          <w:lang w:val="en-GB"/>
        </w:rPr>
        <w:t>I</w:t>
      </w:r>
      <w:r w:rsidRPr="00FB5D9D">
        <w:rPr>
          <w:lang w:val="en-GB"/>
        </w:rPr>
        <w:t xml:space="preserve"> </w:t>
      </w:r>
      <w:r w:rsidRPr="00FB5D9D">
        <w:t xml:space="preserve">reduction accompanying the chemisorption of CoTPP on Au. As such, it is noteworthy that the lengthening of the Au–Co and Co–C/N BLs upon the L coordination is less </w:t>
      </w:r>
      <w:r w:rsidRPr="00FB5D9D">
        <w:rPr>
          <w:rFonts w:ascii="Times New Roman" w:hAnsi="Times New Roman"/>
          <w:lang/>
        </w:rPr>
        <w:t>significant</w:t>
      </w:r>
      <w:r w:rsidRPr="00FB5D9D">
        <w:t xml:space="preserve"> than that estimated for Cu–CoTPP–</w:t>
      </w:r>
      <w:r w:rsidRPr="00FB5D9D">
        <w:rPr>
          <w:vertAlign w:val="superscript"/>
        </w:rPr>
        <w:t>0</w:t>
      </w:r>
      <w:r w:rsidRPr="00FB5D9D">
        <w:t>L and Ag–CoTPP–</w:t>
      </w:r>
      <w:r w:rsidRPr="00FB5D9D">
        <w:rPr>
          <w:vertAlign w:val="superscript"/>
        </w:rPr>
        <w:t>0</w:t>
      </w:r>
      <w:r w:rsidRPr="00FB5D9D">
        <w:t>L (see Tables S31, S32 and S37). Molecular cluster results pertinent to Au–CoTPP–NH</w:t>
      </w:r>
      <w:r w:rsidRPr="00FB5D9D">
        <w:rPr>
          <w:vertAlign w:val="subscript"/>
        </w:rPr>
        <w:t>3</w:t>
      </w:r>
      <w:r w:rsidRPr="00FB5D9D">
        <w:t xml:space="preserve"> agree very well with experimental data and periodic calculations [</w:t>
      </w:r>
      <w:r w:rsidRPr="00FB5D9D">
        <w:fldChar w:fldCharType="begin"/>
      </w:r>
      <w:r w:rsidRPr="00FB5D9D">
        <w:instrText xml:space="preserve"> REF _Ref82088372 \r \h </w:instrText>
      </w:r>
      <w:r>
        <w:instrText xml:space="preserve"> \* MERGEFORMAT </w:instrText>
      </w:r>
      <w:r w:rsidRPr="00FB5D9D">
        <w:fldChar w:fldCharType="separate"/>
      </w:r>
      <w:r w:rsidRPr="00FB5D9D">
        <w:t>18</w:t>
      </w:r>
      <w:r w:rsidRPr="00FB5D9D">
        <w:fldChar w:fldCharType="end"/>
      </w:r>
      <w:r w:rsidRPr="00FB5D9D">
        <w:t>,</w:t>
      </w:r>
      <w:r w:rsidRPr="00FB5D9D">
        <w:fldChar w:fldCharType="begin"/>
      </w:r>
      <w:r w:rsidRPr="00FB5D9D">
        <w:instrText xml:space="preserve"> REF _Ref82088965 \r \h </w:instrText>
      </w:r>
      <w:r>
        <w:instrText xml:space="preserve"> \* MERGEFORMAT </w:instrText>
      </w:r>
      <w:r w:rsidRPr="00FB5D9D">
        <w:fldChar w:fldCharType="separate"/>
      </w:r>
      <w:r w:rsidRPr="00FB5D9D">
        <w:t>21</w:t>
      </w:r>
      <w:r w:rsidRPr="00FB5D9D">
        <w:fldChar w:fldCharType="end"/>
      </w:r>
      <w:r w:rsidRPr="00FB5D9D">
        <w:t>].</w:t>
      </w:r>
    </w:p>
    <w:p w:rsidR="00FB5D9D" w:rsidRPr="00FB5D9D" w:rsidRDefault="00FB5D9D" w:rsidP="00FB5D9D">
      <w:pPr>
        <w:pStyle w:val="MDPI31text"/>
        <w:rPr>
          <w:lang w:val="en-GB"/>
        </w:rPr>
      </w:pPr>
      <w:r w:rsidRPr="00FB5D9D">
        <w:rPr>
          <w:lang w:val="en-GB"/>
        </w:rPr>
        <w:t xml:space="preserve">As a whole, the magnetization of the MS–CoTPP interphase (MS = Cu and Ag) is “switched on” by the </w:t>
      </w:r>
      <w:r w:rsidRPr="00FB5D9D">
        <w:rPr>
          <w:vertAlign w:val="superscript"/>
          <w:lang w:val="en-GB"/>
        </w:rPr>
        <w:t>0</w:t>
      </w:r>
      <w:r w:rsidRPr="00FB5D9D">
        <w:rPr>
          <w:lang w:val="en-GB"/>
        </w:rPr>
        <w:t xml:space="preserve">L chemisorption, while no variation is expected on passing from </w:t>
      </w:r>
      <w:r w:rsidRPr="00FB5D9D">
        <w:t>Au–CoTPP to Au–CoTPP–</w:t>
      </w:r>
      <w:r w:rsidRPr="00FB5D9D">
        <w:rPr>
          <w:vertAlign w:val="superscript"/>
        </w:rPr>
        <w:t>0</w:t>
      </w:r>
      <w:r w:rsidRPr="00FB5D9D">
        <w:t xml:space="preserve">L </w:t>
      </w:r>
      <w:r w:rsidRPr="00FB5D9D">
        <w:rPr>
          <w:lang w:val="en-GB"/>
        </w:rPr>
        <w:t>(see Figure 3, third and fourth columns)</w:t>
      </w:r>
      <w:r w:rsidRPr="00FB5D9D">
        <w:t>.</w:t>
      </w:r>
      <w:r w:rsidRPr="00FB5D9D">
        <w:rPr>
          <w:lang w:val="en-GB"/>
        </w:rPr>
        <w:t xml:space="preserve"> </w:t>
      </w:r>
    </w:p>
    <w:p w:rsidR="00FB5D9D" w:rsidRPr="00FB5D9D" w:rsidRDefault="00FB5D9D" w:rsidP="00FB5D9D">
      <w:pPr>
        <w:pStyle w:val="MDPI31text"/>
        <w:rPr>
          <w:lang w:val="en-GB"/>
        </w:rPr>
      </w:pPr>
    </w:p>
    <w:p w:rsidR="00FB5D9D" w:rsidRPr="00FB5D9D" w:rsidRDefault="00FB5D9D" w:rsidP="00FB5D9D">
      <w:pPr>
        <w:pStyle w:val="MDPI31text"/>
        <w:ind w:firstLine="0"/>
        <w:rPr>
          <w:b/>
          <w:bCs/>
          <w:sz w:val="16"/>
          <w:szCs w:val="16"/>
          <w:lang w:val="en-GB"/>
        </w:rPr>
      </w:pPr>
      <w:r w:rsidRPr="00FB5D9D">
        <w:rPr>
          <w:b/>
          <w:bCs/>
          <w:noProof/>
          <w:sz w:val="16"/>
          <w:szCs w:val="16"/>
          <w:lang w:eastAsia="en-US" w:bidi="ar-SA"/>
        </w:rPr>
        <w:drawing>
          <wp:inline distT="0" distB="0" distL="0" distR="0" wp14:anchorId="68939FD6" wp14:editId="0267B687">
            <wp:extent cx="4942247" cy="179499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1652" cy="1798406"/>
                    </a:xfrm>
                    <a:prstGeom prst="rect">
                      <a:avLst/>
                    </a:prstGeom>
                    <a:noFill/>
                    <a:ln>
                      <a:noFill/>
                    </a:ln>
                  </pic:spPr>
                </pic:pic>
              </a:graphicData>
            </a:graphic>
          </wp:inline>
        </w:drawing>
      </w:r>
    </w:p>
    <w:p w:rsidR="00FB5D9D" w:rsidRPr="00FB5D9D" w:rsidRDefault="00FB5D9D" w:rsidP="00FB5D9D">
      <w:pPr>
        <w:pStyle w:val="MDPI31text"/>
        <w:ind w:firstLine="0"/>
        <w:rPr>
          <w:sz w:val="16"/>
          <w:szCs w:val="16"/>
          <w:lang w:val="en-GB"/>
        </w:rPr>
      </w:pPr>
      <w:r w:rsidRPr="00FB5D9D">
        <w:rPr>
          <w:b/>
          <w:bCs/>
          <w:sz w:val="16"/>
          <w:szCs w:val="16"/>
          <w:lang w:val="en-GB"/>
        </w:rPr>
        <w:t>Figure 3.</w:t>
      </w:r>
      <w:r w:rsidRPr="00FB5D9D">
        <w:rPr>
          <w:color w:val="FF0000"/>
          <w:sz w:val="16"/>
          <w:szCs w:val="16"/>
          <w:lang w:val="en-GB"/>
        </w:rPr>
        <w:t xml:space="preserve"> </w:t>
      </w:r>
      <w:r w:rsidRPr="00FB5D9D">
        <w:rPr>
          <w:sz w:val="16"/>
          <w:szCs w:val="16"/>
        </w:rPr>
        <w:t>Schematic representation of the magnetic behavior (“switch on”/”switch off”) of the free CoTPP (first column), MS supported CoTPP (MS = Cu, Ag and Au; second column) and of MS supported CoTPP interacting with different L (L = CO, NH</w:t>
      </w:r>
      <w:r w:rsidRPr="00FB5D9D">
        <w:rPr>
          <w:sz w:val="16"/>
          <w:szCs w:val="16"/>
          <w:vertAlign w:val="subscript"/>
        </w:rPr>
        <w:t>3</w:t>
      </w:r>
      <w:r w:rsidRPr="00FB5D9D">
        <w:rPr>
          <w:sz w:val="16"/>
          <w:szCs w:val="16"/>
        </w:rPr>
        <w:t>, NO</w:t>
      </w:r>
      <w:r w:rsidRPr="00FB5D9D">
        <w:rPr>
          <w:sz w:val="16"/>
          <w:szCs w:val="16"/>
          <w:vertAlign w:val="subscript"/>
        </w:rPr>
        <w:t>2</w:t>
      </w:r>
      <w:r w:rsidRPr="00FB5D9D">
        <w:rPr>
          <w:sz w:val="16"/>
          <w:szCs w:val="16"/>
        </w:rPr>
        <w:t>, NO and O</w:t>
      </w:r>
      <w:r w:rsidRPr="00FB5D9D">
        <w:rPr>
          <w:sz w:val="16"/>
          <w:szCs w:val="16"/>
          <w:vertAlign w:val="subscript"/>
        </w:rPr>
        <w:t>2</w:t>
      </w:r>
      <w:r w:rsidRPr="00FB5D9D">
        <w:rPr>
          <w:sz w:val="16"/>
          <w:szCs w:val="16"/>
        </w:rPr>
        <w:t>; third – seventh columns).</w:t>
      </w:r>
    </w:p>
    <w:p w:rsidR="00FB5D9D" w:rsidRPr="00FB5D9D" w:rsidRDefault="00FB5D9D" w:rsidP="00FB5D9D">
      <w:pPr>
        <w:pStyle w:val="MDPI31text"/>
        <w:rPr>
          <w:lang w:val="en-GB"/>
        </w:rPr>
      </w:pPr>
    </w:p>
    <w:p w:rsidR="00FB5D9D" w:rsidRPr="00FB5D9D" w:rsidRDefault="00FB5D9D" w:rsidP="00FB5D9D">
      <w:pPr>
        <w:pStyle w:val="MDPI31text"/>
        <w:rPr>
          <w:lang w:val="en-GB"/>
        </w:rPr>
      </w:pPr>
      <w:r w:rsidRPr="00FB5D9D">
        <w:rPr>
          <w:lang w:val="en-GB"/>
        </w:rPr>
        <w:t>Theoretical results obtained for the adducts CoTPP–</w:t>
      </w:r>
      <w:r w:rsidRPr="00FB5D9D">
        <w:rPr>
          <w:vertAlign w:val="superscript"/>
          <w:lang w:val="en-GB"/>
        </w:rPr>
        <w:t>1</w:t>
      </w:r>
      <w:r w:rsidRPr="00FB5D9D">
        <w:rPr>
          <w:lang w:val="en-GB"/>
        </w:rPr>
        <w:t>L and CoTPP–</w:t>
      </w:r>
      <w:r w:rsidRPr="00FB5D9D">
        <w:rPr>
          <w:vertAlign w:val="superscript"/>
          <w:lang w:val="en-GB"/>
        </w:rPr>
        <w:t>2</w:t>
      </w:r>
      <w:r w:rsidRPr="00FB5D9D">
        <w:rPr>
          <w:lang w:val="en-GB"/>
        </w:rPr>
        <w:t>L induce us to foresee that the electron exchange taking place at the S–CoTPP–</w:t>
      </w:r>
      <w:r w:rsidRPr="00FB5D9D">
        <w:rPr>
          <w:i/>
          <w:iCs/>
          <w:vertAlign w:val="superscript"/>
          <w:lang w:val="en-GB"/>
        </w:rPr>
        <w:t>k</w:t>
      </w:r>
      <w:r w:rsidRPr="00FB5D9D">
        <w:rPr>
          <w:lang w:val="en-GB"/>
        </w:rPr>
        <w:t>L (</w:t>
      </w:r>
      <w:r w:rsidRPr="00FB5D9D">
        <w:rPr>
          <w:i/>
          <w:iCs/>
          <w:lang w:val="en-GB"/>
        </w:rPr>
        <w:t xml:space="preserve">k </w:t>
      </w:r>
      <w:r w:rsidRPr="00FB5D9D">
        <w:rPr>
          <w:lang w:val="en-GB"/>
        </w:rPr>
        <w:t xml:space="preserve">= 1 and 2) interphases should not be limited to CoTPP and S but could involve </w:t>
      </w:r>
      <w:r w:rsidRPr="00FB5D9D">
        <w:rPr>
          <w:vertAlign w:val="superscript"/>
          <w:lang w:val="en-GB"/>
        </w:rPr>
        <w:t>1</w:t>
      </w:r>
      <w:r w:rsidRPr="00FB5D9D">
        <w:rPr>
          <w:lang w:val="en-GB"/>
        </w:rPr>
        <w:t xml:space="preserve">L and </w:t>
      </w:r>
      <w:r w:rsidRPr="00FB5D9D">
        <w:rPr>
          <w:vertAlign w:val="superscript"/>
          <w:lang w:val="en-GB"/>
        </w:rPr>
        <w:t>2</w:t>
      </w:r>
      <w:r w:rsidRPr="00FB5D9D">
        <w:rPr>
          <w:lang w:val="en-GB"/>
        </w:rPr>
        <w:t xml:space="preserve">L too. The inspection of Tables S35-S37 of the SM confirms this expectation and clearly shows that the strongest </w:t>
      </w:r>
      <w:r w:rsidRPr="00FB5D9D">
        <w:rPr>
          <w:lang w:val="en-GB"/>
        </w:rPr>
        <w:lastRenderedPageBreak/>
        <w:t>MS–CoTPP–</w:t>
      </w:r>
      <w:r w:rsidRPr="00FB5D9D">
        <w:rPr>
          <w:i/>
          <w:iCs/>
          <w:vertAlign w:val="superscript"/>
          <w:lang w:val="en-GB"/>
        </w:rPr>
        <w:t>k</w:t>
      </w:r>
      <w:r w:rsidRPr="00FB5D9D">
        <w:rPr>
          <w:lang w:val="en-GB"/>
        </w:rPr>
        <w:t xml:space="preserve">L </w:t>
      </w:r>
      <w:r w:rsidRPr="00FB5D9D">
        <w:rPr>
          <w:i/>
          <w:lang w:val="en-GB"/>
        </w:rPr>
        <w:t>trans</w:t>
      </w:r>
      <w:r w:rsidRPr="00FB5D9D">
        <w:rPr>
          <w:lang w:val="en-GB"/>
        </w:rPr>
        <w:t xml:space="preserve">-effect is associated to the NO coordination, whose presence: i) decreases the </w:t>
      </w:r>
      <w:r w:rsidRPr="00FB5D9D">
        <w:rPr>
          <w:i/>
          <w:lang w:val="en-GB"/>
        </w:rPr>
        <w:t>BE</w:t>
      </w:r>
      <w:r w:rsidRPr="00FB5D9D">
        <w:rPr>
          <w:vertAlign w:val="subscript"/>
          <w:lang w:val="en-GB"/>
        </w:rPr>
        <w:t>MS–Co</w:t>
      </w:r>
      <w:r w:rsidRPr="00FB5D9D">
        <w:rPr>
          <w:lang w:val="en-GB"/>
        </w:rPr>
        <w:t xml:space="preserve"> (1.17 </w:t>
      </w:r>
      <w:r w:rsidRPr="00FB5D9D">
        <w:rPr>
          <w:rFonts w:ascii="Symbol" w:eastAsia="Symbol" w:hAnsi="Symbol" w:cs="Symbol"/>
          <w:lang w:val="en-GB"/>
        </w:rPr>
        <w:t></w:t>
      </w:r>
      <w:r w:rsidRPr="00FB5D9D">
        <w:t xml:space="preserve"> </w:t>
      </w:r>
      <w:r w:rsidRPr="00FB5D9D">
        <w:rPr>
          <w:color w:val="000000" w:themeColor="text1"/>
          <w:lang w:val="en-GB"/>
        </w:rPr>
        <w:t>0.41</w:t>
      </w:r>
      <w:r w:rsidRPr="00FB5D9D">
        <w:rPr>
          <w:color w:val="FF0000"/>
          <w:lang w:val="en-GB"/>
        </w:rPr>
        <w:t xml:space="preserve"> </w:t>
      </w:r>
      <w:r w:rsidRPr="00FB5D9D">
        <w:rPr>
          <w:color w:val="000000" w:themeColor="text1"/>
          <w:lang w:val="en-GB"/>
        </w:rPr>
        <w:t>eV, 0.91</w:t>
      </w:r>
      <w:r w:rsidRPr="00FB5D9D">
        <w:rPr>
          <w:lang w:val="en-GB"/>
        </w:rPr>
        <w:t xml:space="preserve"> </w:t>
      </w:r>
      <w:r w:rsidRPr="00FB5D9D">
        <w:rPr>
          <w:rFonts w:ascii="Symbol" w:eastAsia="Symbol" w:hAnsi="Symbol" w:cs="Symbol"/>
          <w:lang w:val="en-GB"/>
        </w:rPr>
        <w:t></w:t>
      </w:r>
      <w:r w:rsidRPr="00FB5D9D">
        <w:rPr>
          <w:lang w:val="en-GB"/>
        </w:rPr>
        <w:t xml:space="preserve"> 0.26</w:t>
      </w:r>
      <w:r w:rsidRPr="00FB5D9D">
        <w:rPr>
          <w:color w:val="FF0000"/>
          <w:lang w:val="en-GB"/>
        </w:rPr>
        <w:t xml:space="preserve"> </w:t>
      </w:r>
      <w:r w:rsidRPr="00FB5D9D">
        <w:rPr>
          <w:color w:val="000000" w:themeColor="text1"/>
          <w:lang w:val="en-GB"/>
        </w:rPr>
        <w:t>eV, 1.11</w:t>
      </w:r>
      <w:r w:rsidRPr="00FB5D9D">
        <w:rPr>
          <w:lang w:val="en-GB"/>
        </w:rPr>
        <w:t xml:space="preserve"> </w:t>
      </w:r>
      <w:r w:rsidRPr="00FB5D9D">
        <w:rPr>
          <w:rFonts w:ascii="Symbol" w:eastAsia="Symbol" w:hAnsi="Symbol" w:cs="Symbol"/>
          <w:lang w:val="en-GB"/>
        </w:rPr>
        <w:t></w:t>
      </w:r>
      <w:r w:rsidRPr="00FB5D9D">
        <w:rPr>
          <w:lang w:val="en-GB"/>
        </w:rPr>
        <w:t xml:space="preserve"> 0.49</w:t>
      </w:r>
      <w:r w:rsidRPr="00FB5D9D">
        <w:rPr>
          <w:color w:val="FF0000"/>
          <w:lang w:val="en-GB"/>
        </w:rPr>
        <w:t xml:space="preserve"> </w:t>
      </w:r>
      <w:r w:rsidRPr="00FB5D9D">
        <w:rPr>
          <w:color w:val="000000" w:themeColor="text1"/>
          <w:lang w:val="en-GB"/>
        </w:rPr>
        <w:t>eV, for Cu, Ag and Au, respectively)</w:t>
      </w:r>
      <w:r w:rsidRPr="00FB5D9D">
        <w:rPr>
          <w:lang w:val="en-GB"/>
        </w:rPr>
        <w:t>; ii) increases the BL</w:t>
      </w:r>
      <w:r w:rsidRPr="00FB5D9D">
        <w:rPr>
          <w:vertAlign w:val="subscript"/>
          <w:lang w:val="en-GB"/>
        </w:rPr>
        <w:t>MS–Co</w:t>
      </w:r>
      <w:r w:rsidRPr="00FB5D9D">
        <w:rPr>
          <w:lang w:val="en-GB"/>
        </w:rPr>
        <w:t xml:space="preserve"> (2.27 </w:t>
      </w:r>
      <w:r w:rsidRPr="00FB5D9D">
        <w:rPr>
          <w:rFonts w:ascii="Symbol" w:eastAsia="Symbol" w:hAnsi="Symbol" w:cs="Symbol"/>
          <w:lang w:val="en-GB"/>
        </w:rPr>
        <w:t></w:t>
      </w:r>
      <w:r w:rsidRPr="00FB5D9D">
        <w:t xml:space="preserve"> 2.36</w:t>
      </w:r>
      <w:r w:rsidRPr="00FB5D9D">
        <w:rPr>
          <w:color w:val="FF0000"/>
          <w:lang w:val="en-GB"/>
        </w:rPr>
        <w:t xml:space="preserve"> </w:t>
      </w:r>
      <w:r w:rsidRPr="00FB5D9D">
        <w:rPr>
          <w:color w:val="000000" w:themeColor="text1"/>
          <w:lang w:val="en-GB"/>
        </w:rPr>
        <w:t>Å, 2.47</w:t>
      </w:r>
      <w:r w:rsidRPr="00FB5D9D">
        <w:rPr>
          <w:lang w:val="en-GB"/>
        </w:rPr>
        <w:t xml:space="preserve"> </w:t>
      </w:r>
      <w:r w:rsidRPr="00FB5D9D">
        <w:rPr>
          <w:rFonts w:ascii="Symbol" w:eastAsia="Symbol" w:hAnsi="Symbol" w:cs="Symbol"/>
          <w:lang w:val="en-GB"/>
        </w:rPr>
        <w:t></w:t>
      </w:r>
      <w:r w:rsidRPr="00FB5D9D">
        <w:rPr>
          <w:lang w:val="en-GB"/>
        </w:rPr>
        <w:t xml:space="preserve"> 2.60</w:t>
      </w:r>
      <w:r w:rsidRPr="00FB5D9D">
        <w:rPr>
          <w:color w:val="FF0000"/>
          <w:lang w:val="en-GB"/>
        </w:rPr>
        <w:t xml:space="preserve"> </w:t>
      </w:r>
      <w:r w:rsidRPr="00FB5D9D">
        <w:rPr>
          <w:color w:val="000000" w:themeColor="text1"/>
          <w:lang w:val="en-GB"/>
        </w:rPr>
        <w:t>Å, 2.46</w:t>
      </w:r>
      <w:r w:rsidRPr="00FB5D9D">
        <w:rPr>
          <w:lang w:val="en-GB"/>
        </w:rPr>
        <w:t xml:space="preserve"> </w:t>
      </w:r>
      <w:r w:rsidRPr="00FB5D9D">
        <w:rPr>
          <w:rFonts w:ascii="Symbol" w:eastAsia="Symbol" w:hAnsi="Symbol" w:cs="Symbol"/>
          <w:lang w:val="en-GB"/>
        </w:rPr>
        <w:t></w:t>
      </w:r>
      <w:r w:rsidRPr="00FB5D9D">
        <w:rPr>
          <w:lang w:val="en-GB"/>
        </w:rPr>
        <w:t xml:space="preserve"> 2.56</w:t>
      </w:r>
      <w:r w:rsidRPr="00FB5D9D">
        <w:rPr>
          <w:color w:val="FF0000"/>
          <w:lang w:val="en-GB"/>
        </w:rPr>
        <w:t xml:space="preserve"> </w:t>
      </w:r>
      <w:r w:rsidRPr="00FB5D9D">
        <w:rPr>
          <w:color w:val="000000" w:themeColor="text1"/>
          <w:lang w:val="en-GB"/>
        </w:rPr>
        <w:t>Å, for Cu, Ag and Au, respectively)</w:t>
      </w:r>
      <w:r w:rsidRPr="00FB5D9D">
        <w:rPr>
          <w:lang w:val="en-GB"/>
        </w:rPr>
        <w:t xml:space="preserve">. </w:t>
      </w:r>
      <w:r w:rsidRPr="00FB5D9D">
        <w:t>Further insights into the MS–Co and the Co–NO interactions may be gained by referring to the Figure 4,</w:t>
      </w:r>
      <w:r w:rsidRPr="00FB5D9D">
        <w:rPr>
          <w:lang w:val="en-GB"/>
        </w:rPr>
        <w:t xml:space="preserve"> where the MS–CoTPP–</w:t>
      </w:r>
      <w:r w:rsidRPr="00FB5D9D">
        <w:rPr>
          <w:i/>
          <w:iCs/>
          <w:vertAlign w:val="superscript"/>
          <w:lang w:val="en-GB"/>
        </w:rPr>
        <w:t>k</w:t>
      </w:r>
      <w:r w:rsidRPr="00FB5D9D">
        <w:rPr>
          <w:lang w:val="en-GB"/>
        </w:rPr>
        <w:t>L (</w:t>
      </w:r>
      <w:r w:rsidRPr="00FB5D9D">
        <w:rPr>
          <w:i/>
          <w:lang w:val="en-GB"/>
        </w:rPr>
        <w:t>k</w:t>
      </w:r>
      <w:r w:rsidRPr="00FB5D9D">
        <w:rPr>
          <w:lang w:val="en-GB"/>
        </w:rPr>
        <w:t xml:space="preserve"> = 1, 2) simplified energy level diagrams are displayed together </w:t>
      </w:r>
      <w:r w:rsidRPr="00FB5D9D">
        <w:rPr>
          <w:rFonts w:ascii="Times New Roman" w:hAnsi="Times New Roman"/>
          <w:lang/>
        </w:rPr>
        <w:t xml:space="preserve">with the </w:t>
      </w:r>
      <w:r w:rsidRPr="00FB5D9D">
        <w:rPr>
          <w:lang w:val="en-GB"/>
        </w:rPr>
        <w:t xml:space="preserve">3D plots of </w:t>
      </w:r>
      <w:r w:rsidRPr="00FB5D9D">
        <w:rPr>
          <w:rFonts w:ascii="Times New Roman" w:hAnsi="Times New Roman"/>
          <w:lang/>
        </w:rPr>
        <w:t xml:space="preserve">the </w:t>
      </w:r>
      <w:r w:rsidRPr="00FB5D9D">
        <w:rPr>
          <w:lang w:val="en-GB"/>
        </w:rPr>
        <w:t xml:space="preserve">MOs mainly localized on the MS-based </w:t>
      </w:r>
      <w:r w:rsidRPr="00FB5D9D">
        <w:rPr>
          <w:i/>
          <w:lang w:val="en-GB"/>
        </w:rPr>
        <w:t>n</w:t>
      </w:r>
      <w:r w:rsidRPr="00FB5D9D">
        <w:rPr>
          <w:lang w:val="en-GB"/>
        </w:rPr>
        <w:t>s AO (</w:t>
      </w:r>
      <w:r w:rsidRPr="00FB5D9D">
        <w:rPr>
          <w:i/>
          <w:lang w:val="en-GB"/>
        </w:rPr>
        <w:t>n</w:t>
      </w:r>
      <w:r w:rsidRPr="00FB5D9D">
        <w:rPr>
          <w:lang w:val="en-GB"/>
        </w:rPr>
        <w:t xml:space="preserve"> = 4, 5 and 6 for Cu, Ag and Au, respectively), the Co-based 3d AOs and the </w:t>
      </w:r>
      <w:r w:rsidRPr="00FB5D9D">
        <w:rPr>
          <w:i/>
          <w:iCs/>
          <w:vertAlign w:val="superscript"/>
          <w:lang w:val="en-GB"/>
        </w:rPr>
        <w:t>k</w:t>
      </w:r>
      <w:r w:rsidRPr="00FB5D9D">
        <w:rPr>
          <w:lang w:val="en-GB"/>
        </w:rPr>
        <w:t xml:space="preserve">L-based </w:t>
      </w:r>
      <w:r w:rsidRPr="00FB5D9D">
        <w:rPr>
          <w:rFonts w:ascii="Symbol" w:eastAsia="Symbol" w:hAnsi="Symbol" w:cs="Symbol"/>
          <w:lang w:val="en-GB"/>
        </w:rPr>
        <w:t></w:t>
      </w:r>
      <w:r w:rsidRPr="00FB5D9D">
        <w:rPr>
          <w:vertAlign w:val="superscript"/>
          <w:lang w:val="en-GB"/>
        </w:rPr>
        <w:t>*</w:t>
      </w:r>
      <w:r w:rsidRPr="00FB5D9D">
        <w:rPr>
          <w:lang w:val="en-GB"/>
        </w:rPr>
        <w:t xml:space="preserve"> fragment MOs. </w:t>
      </w:r>
    </w:p>
    <w:p w:rsidR="00FB5D9D" w:rsidRPr="00FB5D9D" w:rsidRDefault="00FB5D9D" w:rsidP="00FB5D9D">
      <w:pPr>
        <w:pStyle w:val="MDPI31text"/>
        <w:ind w:left="0" w:firstLine="0"/>
        <w:jc w:val="right"/>
        <w:rPr>
          <w:b/>
          <w:bCs/>
          <w:sz w:val="16"/>
          <w:szCs w:val="16"/>
          <w:lang w:val="it-IT"/>
        </w:rPr>
      </w:pPr>
      <w:r w:rsidRPr="00FB5D9D">
        <w:rPr>
          <w:b/>
          <w:bCs/>
          <w:noProof/>
          <w:sz w:val="16"/>
          <w:szCs w:val="16"/>
          <w:lang w:eastAsia="en-US" w:bidi="ar-SA"/>
        </w:rPr>
        <w:drawing>
          <wp:inline distT="0" distB="0" distL="0" distR="0" wp14:anchorId="5FD20E17" wp14:editId="18737947">
            <wp:extent cx="4689649" cy="3991878"/>
            <wp:effectExtent l="0" t="0" r="0" b="8890"/>
            <wp:docPr id="6" name="Immagin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12"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3215" cy="4011937"/>
                    </a:xfrm>
                    <a:prstGeom prst="rect">
                      <a:avLst/>
                    </a:prstGeom>
                    <a:noFill/>
                    <a:ln>
                      <a:noFill/>
                    </a:ln>
                  </pic:spPr>
                </pic:pic>
              </a:graphicData>
            </a:graphic>
          </wp:inline>
        </w:drawing>
      </w:r>
    </w:p>
    <w:p w:rsidR="00FB5D9D" w:rsidRPr="00FB5D9D" w:rsidRDefault="00FB5D9D" w:rsidP="00FB5D9D">
      <w:pPr>
        <w:pStyle w:val="MDPI31text"/>
        <w:ind w:firstLine="0"/>
        <w:rPr>
          <w:rStyle w:val="06CHeading"/>
          <w:rFonts w:ascii="Palatino Linotype" w:hAnsi="Palatino Linotype"/>
          <w:b w:val="0"/>
          <w:smallCaps w:val="0"/>
          <w:w w:val="100"/>
          <w:sz w:val="20"/>
          <w:szCs w:val="22"/>
          <w:lang w:eastAsia="de-DE"/>
        </w:rPr>
      </w:pPr>
      <w:r w:rsidRPr="00FB5D9D">
        <w:rPr>
          <w:b/>
          <w:bCs/>
          <w:sz w:val="16"/>
          <w:szCs w:val="16"/>
          <w:lang w:val="en-GB"/>
        </w:rPr>
        <w:t>Figure 4.</w:t>
      </w:r>
      <w:r w:rsidRPr="00FB5D9D">
        <w:rPr>
          <w:color w:val="FF0000"/>
          <w:sz w:val="16"/>
          <w:szCs w:val="16"/>
          <w:lang w:val="en-GB"/>
        </w:rPr>
        <w:t xml:space="preserve"> </w:t>
      </w:r>
      <w:r w:rsidRPr="00FB5D9D">
        <w:rPr>
          <w:color w:val="000000" w:themeColor="text1"/>
          <w:sz w:val="16"/>
          <w:szCs w:val="16"/>
          <w:lang w:val="en-GB"/>
        </w:rPr>
        <w:t>MS–CoTPP–</w:t>
      </w:r>
      <w:r w:rsidRPr="00FB5D9D">
        <w:rPr>
          <w:i/>
          <w:iCs/>
          <w:color w:val="000000" w:themeColor="text1"/>
          <w:sz w:val="16"/>
          <w:szCs w:val="16"/>
          <w:vertAlign w:val="superscript"/>
          <w:lang w:val="en-GB"/>
        </w:rPr>
        <w:t>K</w:t>
      </w:r>
      <w:r w:rsidRPr="00FB5D9D">
        <w:rPr>
          <w:color w:val="000000" w:themeColor="text1"/>
          <w:sz w:val="16"/>
          <w:szCs w:val="16"/>
          <w:lang w:val="en-GB"/>
        </w:rPr>
        <w:t>L (</w:t>
      </w:r>
      <w:r w:rsidRPr="00FB5D9D">
        <w:rPr>
          <w:i/>
          <w:iCs/>
          <w:color w:val="000000" w:themeColor="text1"/>
          <w:sz w:val="16"/>
          <w:szCs w:val="16"/>
          <w:lang w:val="en-GB"/>
        </w:rPr>
        <w:t>k</w:t>
      </w:r>
      <w:r w:rsidRPr="00FB5D9D">
        <w:rPr>
          <w:color w:val="000000" w:themeColor="text1"/>
          <w:sz w:val="16"/>
          <w:szCs w:val="16"/>
          <w:lang w:val="en-GB"/>
        </w:rPr>
        <w:t xml:space="preserve"> = 1 and 2) schematic </w:t>
      </w:r>
      <w:r w:rsidRPr="00FB5D9D">
        <w:rPr>
          <w:sz w:val="16"/>
          <w:szCs w:val="16"/>
          <w:lang w:val="en-GB"/>
        </w:rPr>
        <w:t xml:space="preserve">energy level diagrams. Displayed isosurfaces of selected MOs 3D plots correspond to ±0.03 </w:t>
      </w:r>
      <w:r w:rsidRPr="00FB5D9D">
        <w:rPr>
          <w:i/>
          <w:sz w:val="16"/>
          <w:szCs w:val="16"/>
          <w:lang w:val="en-GB"/>
        </w:rPr>
        <w:t>e</w:t>
      </w:r>
      <w:r w:rsidRPr="00FB5D9D">
        <w:rPr>
          <w:sz w:val="16"/>
          <w:szCs w:val="16"/>
          <w:vertAlign w:val="superscript"/>
          <w:lang w:val="en-GB"/>
        </w:rPr>
        <w:t>1/2</w:t>
      </w:r>
      <w:r w:rsidRPr="00FB5D9D">
        <w:rPr>
          <w:sz w:val="16"/>
          <w:szCs w:val="16"/>
          <w:lang w:val="en-GB"/>
        </w:rPr>
        <w:t xml:space="preserve"> </w:t>
      </w:r>
      <w:r w:rsidRPr="00FB5D9D">
        <w:rPr>
          <w:rFonts w:ascii="Symbol" w:eastAsia="Symbol" w:hAnsi="Symbol" w:cs="Symbol"/>
          <w:sz w:val="16"/>
          <w:szCs w:val="16"/>
          <w:lang w:val="en-GB"/>
        </w:rPr>
        <w:t></w:t>
      </w:r>
      <w:r w:rsidRPr="00FB5D9D">
        <w:rPr>
          <w:sz w:val="16"/>
          <w:szCs w:val="16"/>
          <w:lang w:val="en-GB"/>
        </w:rPr>
        <w:t xml:space="preserve"> Å</w:t>
      </w:r>
      <w:r w:rsidRPr="00FB5D9D">
        <w:rPr>
          <w:sz w:val="16"/>
          <w:szCs w:val="16"/>
          <w:vertAlign w:val="superscript"/>
          <w:lang w:val="en-GB"/>
        </w:rPr>
        <w:t>-3/2</w:t>
      </w:r>
      <w:r w:rsidRPr="00FB5D9D">
        <w:rPr>
          <w:sz w:val="16"/>
          <w:szCs w:val="16"/>
          <w:lang w:val="en-GB"/>
        </w:rPr>
        <w:t>. The energy position of levels mainly localized on the macrocycle is indicated by vertical dots.</w:t>
      </w:r>
    </w:p>
    <w:p w:rsidR="00FB5D9D" w:rsidRPr="00FB5D9D" w:rsidRDefault="00FB5D9D" w:rsidP="00FB5D9D">
      <w:pPr>
        <w:pStyle w:val="MDPI31text"/>
        <w:rPr>
          <w:lang w:val="en-GB"/>
        </w:rPr>
      </w:pPr>
    </w:p>
    <w:p w:rsidR="00FB5D9D" w:rsidRPr="00FB5D9D" w:rsidRDefault="00FB5D9D" w:rsidP="00FB5D9D">
      <w:pPr>
        <w:pStyle w:val="MDPI31text"/>
        <w:rPr>
          <w:b/>
          <w:bCs/>
          <w:sz w:val="16"/>
          <w:szCs w:val="16"/>
        </w:rPr>
      </w:pPr>
      <w:r w:rsidRPr="00FB5D9D">
        <w:rPr>
          <w:lang w:val="en-GB"/>
        </w:rPr>
        <w:t>The</w:t>
      </w:r>
      <w:r w:rsidRPr="00FB5D9D">
        <w:rPr>
          <w:rFonts w:ascii="Times New Roman" w:hAnsi="Times New Roman"/>
          <w:lang/>
        </w:rPr>
        <w:t xml:space="preserve"> percentages of</w:t>
      </w:r>
      <w:r w:rsidRPr="00FB5D9D">
        <w:rPr>
          <w:lang w:val="en-GB"/>
        </w:rPr>
        <w:t xml:space="preserve"> localization </w:t>
      </w:r>
      <w:r w:rsidRPr="00FB5D9D">
        <w:rPr>
          <w:rFonts w:ascii="Times New Roman" w:hAnsi="Times New Roman"/>
          <w:lang/>
        </w:rPr>
        <w:t xml:space="preserve">of </w:t>
      </w:r>
      <w:r w:rsidRPr="00FB5D9D">
        <w:rPr>
          <w:lang w:val="en-GB"/>
        </w:rPr>
        <w:t>MO reported in the figure testifies the negligible perturbation induced by the MS presence on the Co–NO bond; moreover, it is noteworthy that the MS (</w:t>
      </w:r>
      <w:r w:rsidRPr="00FB5D9D">
        <w:rPr>
          <w:i/>
          <w:lang w:val="en-GB"/>
        </w:rPr>
        <w:t>n</w:t>
      </w:r>
      <w:r w:rsidRPr="00FB5D9D">
        <w:rPr>
          <w:lang w:val="en-GB"/>
        </w:rPr>
        <w:t xml:space="preserve">+1)s-based 83a’ SOMO (MS = Cu, </w:t>
      </w:r>
      <w:r w:rsidRPr="00FB5D9D">
        <w:rPr>
          <w:i/>
          <w:lang w:val="en-GB"/>
        </w:rPr>
        <w:t>n</w:t>
      </w:r>
      <w:r w:rsidRPr="00FB5D9D">
        <w:rPr>
          <w:lang w:val="en-GB"/>
        </w:rPr>
        <w:t xml:space="preserve"> = 3; MS = Ag, </w:t>
      </w:r>
      <w:r w:rsidRPr="00FB5D9D">
        <w:rPr>
          <w:i/>
          <w:lang w:val="en-GB"/>
        </w:rPr>
        <w:t>n</w:t>
      </w:r>
      <w:r w:rsidRPr="00FB5D9D">
        <w:rPr>
          <w:lang w:val="en-GB"/>
        </w:rPr>
        <w:t xml:space="preserve"> = 4) has a negligible contribution (</w:t>
      </w:r>
      <w:r w:rsidRPr="00FB5D9D">
        <w:rPr>
          <w:sz w:val="18"/>
          <w:szCs w:val="21"/>
          <w:lang w:val="en-GB"/>
        </w:rPr>
        <w:t xml:space="preserve">≤ </w:t>
      </w:r>
      <w:r w:rsidRPr="00FB5D9D">
        <w:rPr>
          <w:lang w:val="en-GB"/>
        </w:rPr>
        <w:t xml:space="preserve">2%) from the Co 3d-based AOs. In addition, both the </w:t>
      </w:r>
      <w:r w:rsidRPr="00FB5D9D">
        <w:rPr>
          <w:vertAlign w:val="superscript"/>
          <w:lang w:val="en-GB"/>
        </w:rPr>
        <w:t>NO</w:t>
      </w:r>
      <w:r w:rsidRPr="00FB5D9D">
        <w:rPr>
          <w:rFonts w:ascii="Symbol" w:eastAsia="Symbol" w:hAnsi="Symbol" w:cs="Symbol"/>
          <w:lang w:val="en-GB"/>
        </w:rPr>
        <w:t></w:t>
      </w:r>
      <w:r w:rsidRPr="00FB5D9D">
        <w:rPr>
          <w:vertAlign w:val="superscript"/>
          <w:lang w:val="en-GB"/>
        </w:rPr>
        <w:t>*</w:t>
      </w:r>
      <w:r w:rsidRPr="00FB5D9D">
        <w:rPr>
          <w:vertAlign w:val="subscript"/>
          <w:lang w:val="en-GB"/>
        </w:rPr>
        <w:sym w:font="Symbol" w:char="F05E"/>
      </w:r>
      <w:r w:rsidRPr="00FB5D9D">
        <w:rPr>
          <w:lang w:val="en-GB"/>
        </w:rPr>
        <w:t xml:space="preserve">-based </w:t>
      </w:r>
      <w:r w:rsidRPr="00FB5D9D">
        <w:rPr>
          <w:vertAlign w:val="superscript"/>
          <w:lang w:val="en-GB"/>
        </w:rPr>
        <w:sym w:font="Symbol" w:char="F0AF"/>
      </w:r>
      <w:r w:rsidRPr="00FB5D9D">
        <w:rPr>
          <w:vertAlign w:val="superscript"/>
          <w:lang w:val="en-GB"/>
        </w:rPr>
        <w:t>/</w:t>
      </w:r>
      <w:r w:rsidRPr="00FB5D9D">
        <w:rPr>
          <w:vertAlign w:val="superscript"/>
          <w:lang w:val="en-GB"/>
        </w:rPr>
        <w:sym w:font="Symbol" w:char="F0AD"/>
      </w:r>
      <w:r w:rsidRPr="00FB5D9D">
        <w:rPr>
          <w:lang w:val="en-GB"/>
        </w:rPr>
        <w:t xml:space="preserve">54a” and the </w:t>
      </w:r>
      <w:r w:rsidRPr="00FB5D9D">
        <w:rPr>
          <w:vertAlign w:val="superscript"/>
          <w:lang w:val="en-GB"/>
        </w:rPr>
        <w:t>NO</w:t>
      </w:r>
      <w:r w:rsidRPr="00FB5D9D">
        <w:rPr>
          <w:rFonts w:ascii="Symbol" w:eastAsia="Symbol" w:hAnsi="Symbol" w:cs="Symbol"/>
          <w:lang w:val="en-GB"/>
        </w:rPr>
        <w:t></w:t>
      </w:r>
      <w:r w:rsidRPr="00FB5D9D">
        <w:rPr>
          <w:vertAlign w:val="superscript"/>
          <w:lang w:val="en-GB"/>
        </w:rPr>
        <w:t>*</w:t>
      </w:r>
      <w:r w:rsidRPr="00FB5D9D">
        <w:rPr>
          <w:rFonts w:ascii="Times New Roman" w:hAnsi="Times New Roman"/>
          <w:vertAlign w:val="subscript"/>
          <w:lang w:val="en-GB"/>
        </w:rPr>
        <w:t>||</w:t>
      </w:r>
      <w:r w:rsidRPr="00FB5D9D">
        <w:rPr>
          <w:rFonts w:ascii="Times New Roman" w:hAnsi="Times New Roman"/>
          <w:lang w:val="en-GB"/>
        </w:rPr>
        <w:t>-based</w:t>
      </w:r>
      <w:r w:rsidRPr="00FB5D9D">
        <w:rPr>
          <w:rFonts w:ascii="Times New Roman" w:hAnsi="Times New Roman"/>
          <w:vertAlign w:val="subscript"/>
          <w:lang w:val="en-GB"/>
        </w:rPr>
        <w:t xml:space="preserve"> </w:t>
      </w:r>
      <w:r w:rsidRPr="00FB5D9D">
        <w:rPr>
          <w:rFonts w:ascii="Symbol" w:eastAsia="Symbol" w:hAnsi="Symbol" w:cs="Symbol"/>
          <w:vertAlign w:val="superscript"/>
        </w:rPr>
        <w:t></w:t>
      </w:r>
      <w:r w:rsidRPr="00FB5D9D">
        <w:rPr>
          <w:rFonts w:ascii="Symbol" w:eastAsia="Symbol" w:hAnsi="Symbol" w:cs="Symbol"/>
          <w:vertAlign w:val="superscript"/>
        </w:rPr>
        <w:t></w:t>
      </w:r>
      <w:r w:rsidRPr="00FB5D9D">
        <w:rPr>
          <w:rFonts w:ascii="Symbol" w:eastAsia="Symbol" w:hAnsi="Symbol" w:cs="Symbol"/>
          <w:vertAlign w:val="superscript"/>
        </w:rPr>
        <w:t></w:t>
      </w:r>
      <w:r w:rsidRPr="00FB5D9D">
        <w:t>85a</w:t>
      </w:r>
      <w:r w:rsidRPr="00FB5D9D">
        <w:rPr>
          <w:rFonts w:ascii="Symbol" w:eastAsia="Symbol" w:hAnsi="Symbol" w:cs="Symbol"/>
        </w:rPr>
        <w:t></w:t>
      </w:r>
      <w:r w:rsidRPr="00FB5D9D">
        <w:t xml:space="preserve"> MOs</w:t>
      </w:r>
      <w:r w:rsidRPr="00FB5D9D">
        <w:rPr>
          <w:lang w:val="en-GB"/>
        </w:rPr>
        <w:t xml:space="preserve"> have a VMO character and all but one (the </w:t>
      </w:r>
      <w:r w:rsidRPr="00FB5D9D">
        <w:rPr>
          <w:vertAlign w:val="superscript"/>
          <w:lang w:val="en-GB"/>
        </w:rPr>
        <w:sym w:font="Symbol" w:char="F0AF"/>
      </w:r>
      <w:r w:rsidRPr="00FB5D9D">
        <w:rPr>
          <w:vertAlign w:val="superscript"/>
          <w:lang w:val="en-GB"/>
        </w:rPr>
        <w:t>/</w:t>
      </w:r>
      <w:r w:rsidRPr="00FB5D9D">
        <w:rPr>
          <w:vertAlign w:val="superscript"/>
          <w:lang w:val="en-GB"/>
        </w:rPr>
        <w:sym w:font="Symbol" w:char="F0AD"/>
      </w:r>
      <w:r w:rsidRPr="00FB5D9D">
        <w:rPr>
          <w:lang w:val="en-GB"/>
        </w:rPr>
        <w:t xml:space="preserve">56a” MO) Co 3d-based MOs are completely occupied. The NO </w:t>
      </w:r>
      <w:r w:rsidRPr="00FB5D9D">
        <w:rPr>
          <w:i/>
          <w:lang w:val="en-GB"/>
        </w:rPr>
        <w:t>trans</w:t>
      </w:r>
      <w:r w:rsidRPr="00FB5D9D">
        <w:rPr>
          <w:lang w:val="en-GB"/>
        </w:rPr>
        <w:t xml:space="preserve">-effect is then characterized by the transfer of the </w:t>
      </w:r>
      <w:r w:rsidRPr="00FB5D9D">
        <w:rPr>
          <w:vertAlign w:val="superscript"/>
          <w:lang w:val="en-GB"/>
        </w:rPr>
        <w:t>1</w:t>
      </w:r>
      <w:r w:rsidRPr="00FB5D9D">
        <w:rPr>
          <w:lang w:val="en-GB"/>
        </w:rPr>
        <w:t xml:space="preserve">L unpaired electron </w:t>
      </w:r>
      <w:r w:rsidRPr="00FB5D9D">
        <w:t>to the MS–CoTPP system</w:t>
      </w:r>
      <w:r w:rsidRPr="00FB5D9D">
        <w:rPr>
          <w:rFonts w:ascii="Times New Roman" w:hAnsi="Times New Roman"/>
          <w:lang/>
        </w:rPr>
        <w:t>,</w:t>
      </w:r>
      <w:r w:rsidRPr="00FB5D9D">
        <w:t xml:space="preserve"> </w:t>
      </w:r>
      <w:r w:rsidRPr="00FB5D9D">
        <w:rPr>
          <w:lang w:val="en-GB"/>
        </w:rPr>
        <w:t>prompting Co and MS to assume a 3d</w:t>
      </w:r>
      <w:r w:rsidRPr="00FB5D9D">
        <w:rPr>
          <w:vertAlign w:val="superscript"/>
          <w:lang w:val="en-GB"/>
        </w:rPr>
        <w:t>8</w:t>
      </w:r>
      <w:r w:rsidRPr="00FB5D9D">
        <w:rPr>
          <w:lang w:val="en-GB"/>
        </w:rPr>
        <w:t xml:space="preserve"> (Co</w:t>
      </w:r>
      <w:r w:rsidRPr="00FB5D9D">
        <w:rPr>
          <w:vertAlign w:val="superscript"/>
          <w:lang w:val="en-GB"/>
        </w:rPr>
        <w:t>I</w:t>
      </w:r>
      <w:r w:rsidRPr="00FB5D9D">
        <w:rPr>
          <w:lang w:val="en-GB"/>
        </w:rPr>
        <w:t xml:space="preserve">) and </w:t>
      </w:r>
      <w:r w:rsidRPr="00FB5D9D">
        <w:rPr>
          <w:i/>
          <w:lang w:val="en-GB"/>
        </w:rPr>
        <w:t>n</w:t>
      </w:r>
      <w:r w:rsidRPr="00FB5D9D">
        <w:rPr>
          <w:lang w:val="en-GB"/>
        </w:rPr>
        <w:t>d</w:t>
      </w:r>
      <w:r w:rsidRPr="00FB5D9D">
        <w:rPr>
          <w:vertAlign w:val="superscript"/>
          <w:lang w:val="en-GB"/>
        </w:rPr>
        <w:t>10</w:t>
      </w:r>
      <w:r w:rsidRPr="00FB5D9D">
        <w:rPr>
          <w:lang w:val="en-GB"/>
        </w:rPr>
        <w:t>(</w:t>
      </w:r>
      <w:r w:rsidRPr="00FB5D9D">
        <w:rPr>
          <w:i/>
          <w:lang w:val="en-GB"/>
        </w:rPr>
        <w:t>n</w:t>
      </w:r>
      <w:r w:rsidRPr="00FB5D9D">
        <w:rPr>
          <w:lang w:val="en-GB"/>
        </w:rPr>
        <w:t>+1)s</w:t>
      </w:r>
      <w:r w:rsidRPr="00FB5D9D">
        <w:rPr>
          <w:vertAlign w:val="superscript"/>
          <w:lang w:val="en-GB"/>
        </w:rPr>
        <w:t>1</w:t>
      </w:r>
      <w:r w:rsidRPr="00FB5D9D">
        <w:rPr>
          <w:lang w:val="en-GB"/>
        </w:rPr>
        <w:t xml:space="preserve"> (Cu</w:t>
      </w:r>
      <w:r w:rsidRPr="00FB5D9D">
        <w:rPr>
          <w:vertAlign w:val="superscript"/>
          <w:lang w:val="en-GB"/>
        </w:rPr>
        <w:t>0</w:t>
      </w:r>
      <w:r w:rsidRPr="00FB5D9D">
        <w:rPr>
          <w:lang w:val="en-GB"/>
        </w:rPr>
        <w:t>/Ag</w:t>
      </w:r>
      <w:r w:rsidRPr="00FB5D9D">
        <w:rPr>
          <w:vertAlign w:val="superscript"/>
          <w:lang w:val="en-GB"/>
        </w:rPr>
        <w:t>0</w:t>
      </w:r>
      <w:r w:rsidRPr="00FB5D9D">
        <w:rPr>
          <w:lang w:val="en-GB"/>
        </w:rPr>
        <w:t>) electronic configuration and taking out any direct MS–Co interaction, in agreement with periodic calculations [</w:t>
      </w:r>
      <w:r w:rsidRPr="00FB5D9D">
        <w:rPr>
          <w:lang w:val="en-GB"/>
        </w:rPr>
        <w:fldChar w:fldCharType="begin"/>
      </w:r>
      <w:r w:rsidRPr="00FB5D9D">
        <w:rPr>
          <w:lang w:val="en-GB"/>
        </w:rPr>
        <w:instrText>REF _Ref82097156 \r \h</w:instrText>
      </w:r>
      <w:r w:rsidRPr="00FB5D9D">
        <w:rPr>
          <w:lang w:val="en-GB"/>
        </w:rPr>
      </w:r>
      <w:r>
        <w:rPr>
          <w:lang w:val="en-GB"/>
        </w:rPr>
        <w:instrText xml:space="preserve"> \* MERGEFORMAT </w:instrText>
      </w:r>
      <w:r w:rsidRPr="00FB5D9D">
        <w:rPr>
          <w:lang w:val="en-GB"/>
        </w:rPr>
        <w:fldChar w:fldCharType="separate"/>
      </w:r>
      <w:r w:rsidRPr="00FB5D9D">
        <w:rPr>
          <w:lang w:val="en-GB"/>
        </w:rPr>
        <w:t>33</w:t>
      </w:r>
      <w:r w:rsidRPr="00FB5D9D">
        <w:rPr>
          <w:lang w:val="en-GB"/>
        </w:rPr>
        <w:fldChar w:fldCharType="end"/>
      </w:r>
      <w:r w:rsidRPr="00FB5D9D">
        <w:rPr>
          <w:lang w:val="en-GB"/>
        </w:rPr>
        <w:t xml:space="preserve">]. </w:t>
      </w:r>
      <w:r w:rsidRPr="00FB5D9D">
        <w:t xml:space="preserve">Altogether, theoretical outcomes clearly indicate that, even though both the Co oxidation state and electronic configuration are </w:t>
      </w:r>
      <w:r w:rsidRPr="00FB5D9D">
        <w:rPr>
          <w:rFonts w:ascii="Times New Roman" w:hAnsi="Times New Roman"/>
          <w:lang/>
        </w:rPr>
        <w:t>nearly identical</w:t>
      </w:r>
      <w:r w:rsidRPr="00FB5D9D">
        <w:t xml:space="preserve"> in MS–CoTPP, CoTPP–NO</w:t>
      </w:r>
      <w:r w:rsidRPr="00FB5D9D">
        <w:rPr>
          <w:color w:val="auto"/>
        </w:rPr>
        <w:t xml:space="preserve"> and MS–CoTPP–NO, the NO coordination to MS–CoTPP reduces MS</w:t>
      </w:r>
      <w:r w:rsidRPr="00FB5D9D">
        <w:rPr>
          <w:color w:val="auto"/>
          <w:vertAlign w:val="superscript"/>
        </w:rPr>
        <w:t>I</w:t>
      </w:r>
      <w:r w:rsidRPr="00FB5D9D">
        <w:rPr>
          <w:color w:val="auto"/>
        </w:rPr>
        <w:t xml:space="preserve"> to its elemental oxidation state through the NO </w:t>
      </w:r>
      <w:r w:rsidRPr="00FB5D9D">
        <w:rPr>
          <w:rFonts w:ascii="Symbol" w:eastAsia="Symbol" w:hAnsi="Symbol" w:cs="Symbol"/>
          <w:color w:val="auto"/>
        </w:rPr>
        <w:t></w:t>
      </w:r>
      <w:r w:rsidRPr="00FB5D9D">
        <w:rPr>
          <w:color w:val="auto"/>
        </w:rPr>
        <w:t xml:space="preserve"> NO</w:t>
      </w:r>
      <w:r w:rsidRPr="00FB5D9D">
        <w:rPr>
          <w:color w:val="auto"/>
          <w:vertAlign w:val="superscript"/>
        </w:rPr>
        <w:t>+</w:t>
      </w:r>
      <w:r w:rsidRPr="00FB5D9D">
        <w:rPr>
          <w:color w:val="auto"/>
        </w:rPr>
        <w:t xml:space="preserve"> oxidation contemporary</w:t>
      </w:r>
      <w:r w:rsidRPr="00FB5D9D">
        <w:rPr>
          <w:rFonts w:ascii="Times New Roman" w:hAnsi="Times New Roman"/>
          <w:color w:val="auto"/>
          <w:lang/>
        </w:rPr>
        <w:t>,</w:t>
      </w:r>
      <w:r w:rsidRPr="00FB5D9D">
        <w:rPr>
          <w:color w:val="auto"/>
        </w:rPr>
        <w:t xml:space="preserve"> inhibiting any direct MS–Co bonding (see Tables S35 and S36). The NO coordination does not induce any “switch on” effect on MS–CoTPP because the Co species does not vary its oxidation state and the </w:t>
      </w:r>
      <w:r w:rsidRPr="00FB5D9D">
        <w:rPr>
          <w:vertAlign w:val="superscript"/>
          <w:lang w:val="en-GB"/>
        </w:rPr>
        <w:t>1</w:t>
      </w:r>
      <w:r w:rsidRPr="00FB5D9D">
        <w:rPr>
          <w:lang w:val="en-GB"/>
        </w:rPr>
        <w:t>L</w:t>
      </w:r>
      <w:r w:rsidRPr="00FB5D9D">
        <w:rPr>
          <w:color w:val="auto"/>
        </w:rPr>
        <w:t xml:space="preserve"> unpaired electron is used to reduce MS to its elemental oxidation state. It is noteworthy that, both experimental studies and period calculations on S–CoTPP–NO support the molecular cluster outcomes herein reported [</w:t>
      </w:r>
      <w:r w:rsidRPr="00FB5D9D">
        <w:fldChar w:fldCharType="begin"/>
      </w:r>
      <w:r w:rsidRPr="00FB5D9D">
        <w:rPr>
          <w:color w:val="auto"/>
        </w:rPr>
        <w:instrText xml:space="preserve"> REF _Ref87352946 \r \h </w:instrText>
      </w:r>
      <w:r>
        <w:instrText xml:space="preserve"> \* MERGEFORMAT </w:instrText>
      </w:r>
      <w:r w:rsidRPr="00FB5D9D">
        <w:fldChar w:fldCharType="separate"/>
      </w:r>
      <w:r w:rsidRPr="00FB5D9D">
        <w:rPr>
          <w:color w:val="auto"/>
        </w:rPr>
        <w:t>66</w:t>
      </w:r>
      <w:r w:rsidRPr="00FB5D9D">
        <w:fldChar w:fldCharType="end"/>
      </w:r>
      <w:r w:rsidRPr="00FB5D9D">
        <w:rPr>
          <w:color w:val="auto"/>
        </w:rPr>
        <w:t>-</w:t>
      </w:r>
      <w:r w:rsidRPr="00FB5D9D">
        <w:fldChar w:fldCharType="begin"/>
      </w:r>
      <w:r w:rsidRPr="00FB5D9D">
        <w:rPr>
          <w:color w:val="auto"/>
        </w:rPr>
        <w:instrText xml:space="preserve"> REF _Ref87352948 \r \h </w:instrText>
      </w:r>
      <w:r>
        <w:instrText xml:space="preserve"> \* MERGEFORMAT </w:instrText>
      </w:r>
      <w:r w:rsidRPr="00FB5D9D">
        <w:fldChar w:fldCharType="separate"/>
      </w:r>
      <w:r w:rsidRPr="00FB5D9D">
        <w:rPr>
          <w:color w:val="auto"/>
        </w:rPr>
        <w:t>67</w:t>
      </w:r>
      <w:r w:rsidRPr="00FB5D9D">
        <w:fldChar w:fldCharType="end"/>
      </w:r>
      <w:r w:rsidRPr="00FB5D9D">
        <w:rPr>
          <w:color w:val="auto"/>
        </w:rPr>
        <w:t>].</w:t>
      </w:r>
    </w:p>
    <w:p w:rsidR="00FB5D9D" w:rsidRPr="00FB5D9D" w:rsidRDefault="00FB5D9D" w:rsidP="00FB5D9D">
      <w:pPr>
        <w:pStyle w:val="MDPI31text"/>
      </w:pPr>
      <w:r w:rsidRPr="00FB5D9D">
        <w:lastRenderedPageBreak/>
        <w:t>The comparison of the Au–CoTPP–NO frontier electronic structure with those of the Cu–CoTPP–NO and Ag–CoTPP–NO molecular clusters clearly indicates that the different behavior of Au compared to Cu and Ag has ultimately to be traced back to the diverse MS–CoTPP interaction on passing from Cu/Ag to Au (look at the second column of Figure 3). Au preserves its 5d</w:t>
      </w:r>
      <w:r w:rsidRPr="00FB5D9D">
        <w:rPr>
          <w:vertAlign w:val="superscript"/>
        </w:rPr>
        <w:t>10</w:t>
      </w:r>
      <w:r w:rsidRPr="00FB5D9D">
        <w:t>6s</w:t>
      </w:r>
      <w:r w:rsidRPr="00FB5D9D">
        <w:rPr>
          <w:vertAlign w:val="superscript"/>
        </w:rPr>
        <w:t>1</w:t>
      </w:r>
      <w:r w:rsidRPr="00FB5D9D">
        <w:t xml:space="preserve"> electronic configuration along the whole Au</w:t>
      </w:r>
      <w:r w:rsidRPr="00FB5D9D">
        <w:rPr>
          <w:color w:val="auto"/>
        </w:rPr>
        <w:t xml:space="preserve"> </w:t>
      </w:r>
      <w:r w:rsidRPr="00FB5D9D">
        <w:rPr>
          <w:rFonts w:ascii="Symbol" w:eastAsia="Symbol" w:hAnsi="Symbol" w:cs="Symbol"/>
          <w:color w:val="auto"/>
        </w:rPr>
        <w:t></w:t>
      </w:r>
      <w:r w:rsidRPr="00FB5D9D">
        <w:rPr>
          <w:color w:val="auto"/>
        </w:rPr>
        <w:t xml:space="preserve"> Au–CoTPP </w:t>
      </w:r>
      <w:r w:rsidRPr="00FB5D9D">
        <w:rPr>
          <w:rFonts w:ascii="Symbol" w:eastAsia="Symbol" w:hAnsi="Symbol" w:cs="Symbol"/>
          <w:color w:val="auto"/>
        </w:rPr>
        <w:t></w:t>
      </w:r>
      <w:r w:rsidRPr="00FB5D9D">
        <w:rPr>
          <w:color w:val="auto"/>
        </w:rPr>
        <w:t xml:space="preserve"> Au–CoTPP–NO path</w:t>
      </w:r>
      <w:r w:rsidRPr="00FB5D9D">
        <w:t xml:space="preserve">, while the </w:t>
      </w:r>
      <w:r w:rsidRPr="00FB5D9D">
        <w:rPr>
          <w:color w:val="auto"/>
        </w:rPr>
        <w:t xml:space="preserve">NO </w:t>
      </w:r>
      <w:r w:rsidRPr="00FB5D9D">
        <w:rPr>
          <w:rFonts w:ascii="Symbol" w:eastAsia="Symbol" w:hAnsi="Symbol" w:cs="Symbol"/>
          <w:color w:val="auto"/>
        </w:rPr>
        <w:t></w:t>
      </w:r>
      <w:r w:rsidRPr="00FB5D9D">
        <w:rPr>
          <w:color w:val="auto"/>
        </w:rPr>
        <w:t xml:space="preserve"> NO</w:t>
      </w:r>
      <w:r w:rsidRPr="00FB5D9D">
        <w:rPr>
          <w:color w:val="auto"/>
          <w:vertAlign w:val="superscript"/>
        </w:rPr>
        <w:t>+</w:t>
      </w:r>
      <w:r w:rsidRPr="00FB5D9D">
        <w:rPr>
          <w:color w:val="auto"/>
        </w:rPr>
        <w:t xml:space="preserve"> oxidation</w:t>
      </w:r>
      <w:r w:rsidRPr="00FB5D9D">
        <w:t xml:space="preserve"> (both </w:t>
      </w:r>
      <w:r w:rsidRPr="00FB5D9D">
        <w:rPr>
          <w:lang w:val="en-GB"/>
        </w:rPr>
        <w:t xml:space="preserve">the </w:t>
      </w:r>
      <w:r w:rsidRPr="00FB5D9D">
        <w:rPr>
          <w:vertAlign w:val="superscript"/>
          <w:lang w:val="en-GB"/>
        </w:rPr>
        <w:t>NO</w:t>
      </w:r>
      <w:r w:rsidRPr="00FB5D9D">
        <w:rPr>
          <w:rFonts w:ascii="Symbol" w:eastAsia="Symbol" w:hAnsi="Symbol" w:cs="Symbol"/>
          <w:lang w:val="en-GB"/>
        </w:rPr>
        <w:t></w:t>
      </w:r>
      <w:r w:rsidRPr="00FB5D9D">
        <w:rPr>
          <w:vertAlign w:val="superscript"/>
          <w:lang w:val="en-GB"/>
        </w:rPr>
        <w:t>*</w:t>
      </w:r>
      <w:r w:rsidRPr="00FB5D9D">
        <w:rPr>
          <w:vertAlign w:val="subscript"/>
          <w:lang w:val="en-GB"/>
        </w:rPr>
        <w:sym w:font="Symbol" w:char="F05E"/>
      </w:r>
      <w:r w:rsidRPr="00FB5D9D">
        <w:rPr>
          <w:lang w:val="en-GB"/>
        </w:rPr>
        <w:t xml:space="preserve">-based and the </w:t>
      </w:r>
      <w:r w:rsidRPr="00FB5D9D">
        <w:rPr>
          <w:vertAlign w:val="superscript"/>
          <w:lang w:val="en-GB"/>
        </w:rPr>
        <w:t>NO</w:t>
      </w:r>
      <w:r w:rsidRPr="00FB5D9D">
        <w:rPr>
          <w:rFonts w:ascii="Symbol" w:eastAsia="Symbol" w:hAnsi="Symbol" w:cs="Symbol"/>
          <w:lang w:val="en-GB"/>
        </w:rPr>
        <w:t></w:t>
      </w:r>
      <w:r w:rsidRPr="00FB5D9D">
        <w:rPr>
          <w:vertAlign w:val="superscript"/>
          <w:lang w:val="en-GB"/>
        </w:rPr>
        <w:t>*</w:t>
      </w:r>
      <w:r w:rsidRPr="00FB5D9D">
        <w:rPr>
          <w:rFonts w:ascii="Times New Roman" w:hAnsi="Times New Roman"/>
          <w:vertAlign w:val="subscript"/>
          <w:lang w:val="en-GB"/>
        </w:rPr>
        <w:t>||</w:t>
      </w:r>
      <w:r w:rsidRPr="00FB5D9D">
        <w:rPr>
          <w:rFonts w:ascii="Times New Roman" w:hAnsi="Times New Roman"/>
          <w:lang w:val="en-GB"/>
        </w:rPr>
        <w:t xml:space="preserve">-based </w:t>
      </w:r>
      <w:r w:rsidRPr="00FB5D9D">
        <w:rPr>
          <w:color w:val="auto"/>
        </w:rPr>
        <w:t>Au–CoTPP–NO</w:t>
      </w:r>
      <w:r w:rsidRPr="00FB5D9D">
        <w:t xml:space="preserve"> MOs are empty) provides the electron needed for the Co</w:t>
      </w:r>
      <w:r w:rsidRPr="00FB5D9D">
        <w:rPr>
          <w:vertAlign w:val="superscript"/>
        </w:rPr>
        <w:t>II</w:t>
      </w:r>
      <w:r w:rsidRPr="00FB5D9D">
        <w:t xml:space="preserve"> </w:t>
      </w:r>
      <w:r w:rsidRPr="00FB5D9D">
        <w:rPr>
          <w:rFonts w:ascii="Symbol" w:eastAsia="Symbol" w:hAnsi="Symbol" w:cs="Symbol"/>
          <w:color w:val="auto"/>
        </w:rPr>
        <w:t></w:t>
      </w:r>
      <w:r w:rsidRPr="00FB5D9D">
        <w:rPr>
          <w:rFonts w:ascii="Symbol" w:eastAsia="Symbol" w:hAnsi="Symbol" w:cs="Symbol"/>
          <w:color w:val="auto"/>
        </w:rPr>
        <w:t></w:t>
      </w:r>
      <w:r w:rsidRPr="00FB5D9D">
        <w:t>Co</w:t>
      </w:r>
      <w:r w:rsidRPr="00FB5D9D">
        <w:rPr>
          <w:vertAlign w:val="superscript"/>
        </w:rPr>
        <w:t>I</w:t>
      </w:r>
      <w:r w:rsidRPr="00FB5D9D">
        <w:t xml:space="preserve"> reduction. As a whole, the NO coordination to CoTPP chemisorbed on Au is expected to have a “switch off” effect due to the generation of a Co</w:t>
      </w:r>
      <w:r w:rsidRPr="00FB5D9D">
        <w:rPr>
          <w:vertAlign w:val="superscript"/>
        </w:rPr>
        <w:t>I</w:t>
      </w:r>
      <w:r w:rsidRPr="00FB5D9D">
        <w:t xml:space="preserve"> 3d</w:t>
      </w:r>
      <w:r w:rsidRPr="00FB5D9D">
        <w:rPr>
          <w:vertAlign w:val="superscript"/>
        </w:rPr>
        <w:t>8</w:t>
      </w:r>
      <w:r w:rsidRPr="00FB5D9D">
        <w:t xml:space="preserve"> closed shell (see Figure 3).</w:t>
      </w:r>
    </w:p>
    <w:p w:rsidR="00FB5D9D" w:rsidRPr="00FB5D9D" w:rsidRDefault="00FB5D9D" w:rsidP="00FB5D9D">
      <w:pPr>
        <w:pStyle w:val="MDPI31text"/>
        <w:rPr>
          <w:lang w:val="en-GB"/>
        </w:rPr>
      </w:pPr>
      <w:r w:rsidRPr="00FB5D9D">
        <w:rPr>
          <w:lang w:val="en-GB"/>
        </w:rPr>
        <w:t>Although not as strong as that induced by NO coordination, the NO</w:t>
      </w:r>
      <w:r w:rsidRPr="00FB5D9D">
        <w:rPr>
          <w:vertAlign w:val="subscript"/>
          <w:lang w:val="en-GB"/>
        </w:rPr>
        <w:t>2</w:t>
      </w:r>
      <w:r w:rsidRPr="00FB5D9D">
        <w:rPr>
          <w:lang w:val="en-GB"/>
        </w:rPr>
        <w:t xml:space="preserve"> </w:t>
      </w:r>
      <w:r w:rsidRPr="00FB5D9D">
        <w:rPr>
          <w:i/>
          <w:lang w:val="en-GB"/>
        </w:rPr>
        <w:t>trans</w:t>
      </w:r>
      <w:r w:rsidRPr="00FB5D9D">
        <w:rPr>
          <w:lang w:val="en-GB"/>
        </w:rPr>
        <w:noBreakHyphen/>
        <w:t xml:space="preserve">effect is quite effective too (see </w:t>
      </w:r>
      <w:r w:rsidRPr="00FB5D9D">
        <w:rPr>
          <w:rFonts w:ascii="Times New Roman" w:hAnsi="Times New Roman"/>
          <w:sz w:val="21"/>
          <w:szCs w:val="21"/>
          <w:lang w:val="en-GB"/>
        </w:rPr>
        <w:t>Tables S31, S33, S35-S37 of the SM</w:t>
      </w:r>
      <w:r w:rsidRPr="00FB5D9D">
        <w:rPr>
          <w:lang w:val="en-GB"/>
        </w:rPr>
        <w:t xml:space="preserve">); in particular, </w:t>
      </w:r>
      <w:r w:rsidRPr="00FB5D9D">
        <w:rPr>
          <w:color w:val="000000" w:themeColor="text1"/>
          <w:lang w:val="en-GB"/>
        </w:rPr>
        <w:t>upon moving from MS–CoTPP and CoTPP–NO</w:t>
      </w:r>
      <w:r w:rsidRPr="00FB5D9D">
        <w:rPr>
          <w:color w:val="000000" w:themeColor="text1"/>
          <w:vertAlign w:val="subscript"/>
          <w:lang w:val="en-GB"/>
        </w:rPr>
        <w:t>2</w:t>
      </w:r>
      <w:r w:rsidRPr="00FB5D9D">
        <w:rPr>
          <w:lang w:val="en-GB"/>
        </w:rPr>
        <w:t xml:space="preserve"> to MS–CoTPP–NO</w:t>
      </w:r>
      <w:r w:rsidRPr="00FB5D9D">
        <w:rPr>
          <w:vertAlign w:val="subscript"/>
          <w:lang w:val="en-GB"/>
        </w:rPr>
        <w:t>2</w:t>
      </w:r>
      <w:r w:rsidRPr="00FB5D9D">
        <w:rPr>
          <w:rFonts w:ascii="Times New Roman" w:hAnsi="Times New Roman"/>
          <w:vertAlign w:val="subscript"/>
          <w:lang/>
        </w:rPr>
        <w:t xml:space="preserve">, </w:t>
      </w:r>
      <w:r w:rsidRPr="00FB5D9D">
        <w:rPr>
          <w:lang w:val="en-GB"/>
        </w:rPr>
        <w:t xml:space="preserve">the </w:t>
      </w:r>
      <w:r w:rsidRPr="00FB5D9D">
        <w:rPr>
          <w:i/>
          <w:lang w:val="en-GB"/>
        </w:rPr>
        <w:t>BE</w:t>
      </w:r>
      <w:r w:rsidRPr="00FB5D9D">
        <w:rPr>
          <w:vertAlign w:val="subscript"/>
          <w:lang w:val="en-GB"/>
        </w:rPr>
        <w:t>MS–Co</w:t>
      </w:r>
      <w:r w:rsidRPr="00FB5D9D">
        <w:rPr>
          <w:lang w:val="en-GB"/>
        </w:rPr>
        <w:t xml:space="preserve"> and </w:t>
      </w:r>
      <w:r w:rsidRPr="00FB5D9D">
        <w:rPr>
          <w:i/>
          <w:lang w:val="en-GB"/>
        </w:rPr>
        <w:t>BE</w:t>
      </w:r>
      <w:r w:rsidRPr="00FB5D9D">
        <w:rPr>
          <w:vertAlign w:val="subscript"/>
          <w:lang w:val="en-GB"/>
        </w:rPr>
        <w:t>Co–N</w:t>
      </w:r>
      <w:r w:rsidRPr="00FB5D9D">
        <w:rPr>
          <w:lang w:val="en-GB"/>
        </w:rPr>
        <w:t xml:space="preserve"> decreasing (see Tables S31, S33 and S35-S37</w:t>
      </w:r>
      <w:r w:rsidRPr="00FB5D9D">
        <w:rPr>
          <w:color w:val="000000" w:themeColor="text1"/>
          <w:lang w:val="en-GB"/>
        </w:rPr>
        <w:t>)</w:t>
      </w:r>
      <w:r w:rsidRPr="00FB5D9D">
        <w:rPr>
          <w:lang w:val="en-GB"/>
        </w:rPr>
        <w:t xml:space="preserve"> is accompanied by the BL</w:t>
      </w:r>
      <w:r w:rsidRPr="00FB5D9D">
        <w:rPr>
          <w:vertAlign w:val="subscript"/>
          <w:lang w:val="en-GB"/>
        </w:rPr>
        <w:t>MS–Co</w:t>
      </w:r>
      <w:r w:rsidRPr="00FB5D9D">
        <w:rPr>
          <w:color w:val="000000" w:themeColor="text1"/>
          <w:lang w:val="en-GB"/>
        </w:rPr>
        <w:t xml:space="preserve"> and BL</w:t>
      </w:r>
      <w:r w:rsidRPr="00FB5D9D">
        <w:rPr>
          <w:color w:val="000000" w:themeColor="text1"/>
          <w:vertAlign w:val="subscript"/>
          <w:lang w:val="en-GB"/>
        </w:rPr>
        <w:t>Co–N</w:t>
      </w:r>
      <w:r w:rsidRPr="00FB5D9D">
        <w:rPr>
          <w:color w:val="000000" w:themeColor="text1"/>
          <w:lang w:val="en-GB"/>
        </w:rPr>
        <w:t xml:space="preserve"> increasing </w:t>
      </w:r>
      <w:r w:rsidRPr="00FB5D9D">
        <w:rPr>
          <w:lang w:val="en-GB"/>
        </w:rPr>
        <w:t>(see Tables S31, S33 and S35-S37</w:t>
      </w:r>
      <w:r w:rsidRPr="00FB5D9D">
        <w:rPr>
          <w:color w:val="000000" w:themeColor="text1"/>
          <w:lang w:val="en-GB"/>
        </w:rPr>
        <w:t>)</w:t>
      </w:r>
      <w:r w:rsidRPr="00FB5D9D">
        <w:rPr>
          <w:lang w:val="en-GB"/>
        </w:rPr>
        <w:t>. Common features of the MS–CoTPP–NO</w:t>
      </w:r>
      <w:r w:rsidRPr="00FB5D9D">
        <w:rPr>
          <w:vertAlign w:val="subscript"/>
          <w:lang w:val="en-GB"/>
        </w:rPr>
        <w:t>2</w:t>
      </w:r>
      <w:r w:rsidRPr="00FB5D9D">
        <w:rPr>
          <w:lang w:val="en-GB"/>
        </w:rPr>
        <w:t xml:space="preserve"> bonding scheme are: i) the strong localization of the SOMO on the MS (</w:t>
      </w:r>
      <w:r w:rsidRPr="00FB5D9D">
        <w:rPr>
          <w:i/>
          <w:lang w:val="en-GB"/>
        </w:rPr>
        <w:t>n</w:t>
      </w:r>
      <w:r w:rsidRPr="00FB5D9D">
        <w:rPr>
          <w:lang w:val="en-GB"/>
        </w:rPr>
        <w:t xml:space="preserve">+1)s AO (see Figure 4), which is consistent with a MS </w:t>
      </w:r>
      <w:r w:rsidRPr="00FB5D9D">
        <w:rPr>
          <w:i/>
          <w:lang w:val="en-GB"/>
        </w:rPr>
        <w:t>n</w:t>
      </w:r>
      <w:r w:rsidRPr="00FB5D9D">
        <w:rPr>
          <w:lang w:val="en-GB"/>
        </w:rPr>
        <w:t>d</w:t>
      </w:r>
      <w:r w:rsidRPr="00FB5D9D">
        <w:rPr>
          <w:vertAlign w:val="superscript"/>
          <w:lang w:val="en-GB"/>
        </w:rPr>
        <w:t>10</w:t>
      </w:r>
      <w:r w:rsidRPr="00FB5D9D">
        <w:rPr>
          <w:lang w:val="en-GB"/>
        </w:rPr>
        <w:t>(</w:t>
      </w:r>
      <w:r w:rsidRPr="00FB5D9D">
        <w:rPr>
          <w:i/>
          <w:lang w:val="en-GB"/>
        </w:rPr>
        <w:t>n</w:t>
      </w:r>
      <w:r w:rsidRPr="00FB5D9D">
        <w:rPr>
          <w:lang w:val="en-GB"/>
        </w:rPr>
        <w:t>+1)s</w:t>
      </w:r>
      <w:r w:rsidRPr="00FB5D9D">
        <w:rPr>
          <w:vertAlign w:val="superscript"/>
          <w:lang w:val="en-GB"/>
        </w:rPr>
        <w:t>1</w:t>
      </w:r>
      <w:r w:rsidRPr="00FB5D9D">
        <w:rPr>
          <w:lang w:val="en-GB"/>
        </w:rPr>
        <w:t xml:space="preserve"> elemental electronic configuration (</w:t>
      </w:r>
      <w:r w:rsidRPr="00FB5D9D">
        <w:rPr>
          <w:i/>
          <w:lang w:val="en-GB"/>
        </w:rPr>
        <w:t>n</w:t>
      </w:r>
      <w:r w:rsidRPr="00FB5D9D">
        <w:rPr>
          <w:lang w:val="en-GB"/>
        </w:rPr>
        <w:t xml:space="preserve"> = 3, 4, 5 for MS = Cu, Ag, Au, respectively); ii) the NO</w:t>
      </w:r>
      <w:r w:rsidRPr="00FB5D9D">
        <w:rPr>
          <w:vertAlign w:val="subscript"/>
          <w:lang w:val="en-GB"/>
        </w:rPr>
        <w:t>2</w:t>
      </w:r>
      <w:r w:rsidRPr="00FB5D9D">
        <w:rPr>
          <w:lang w:val="en-GB"/>
        </w:rPr>
        <w:t xml:space="preserve"> “closed shell” nature after coordination and then its “nitrite” character (see above); iii) the local “closed shell” electronic configuration (3d</w:t>
      </w:r>
      <w:r w:rsidRPr="00FB5D9D">
        <w:rPr>
          <w:vertAlign w:val="superscript"/>
          <w:lang w:val="en-GB"/>
        </w:rPr>
        <w:t>6</w:t>
      </w:r>
      <w:r w:rsidRPr="00FB5D9D">
        <w:rPr>
          <w:lang w:val="en-GB"/>
        </w:rPr>
        <w:t>) of Co oxidized by NO</w:t>
      </w:r>
      <w:r w:rsidRPr="00FB5D9D">
        <w:rPr>
          <w:vertAlign w:val="subscript"/>
          <w:lang w:val="en-GB"/>
        </w:rPr>
        <w:t>2</w:t>
      </w:r>
      <w:r w:rsidRPr="00FB5D9D">
        <w:rPr>
          <w:lang w:val="en-GB"/>
        </w:rPr>
        <w:t xml:space="preserve"> to Co</w:t>
      </w:r>
      <w:r w:rsidRPr="00FB5D9D">
        <w:rPr>
          <w:vertAlign w:val="superscript"/>
          <w:lang w:val="en-GB"/>
        </w:rPr>
        <w:t>III</w:t>
      </w:r>
      <w:r w:rsidRPr="00FB5D9D">
        <w:rPr>
          <w:lang w:val="en-GB"/>
        </w:rPr>
        <w:t xml:space="preserve"> (only the six t</w:t>
      </w:r>
      <w:r w:rsidRPr="00FB5D9D">
        <w:rPr>
          <w:vertAlign w:val="subscript"/>
          <w:lang w:val="en-GB"/>
        </w:rPr>
        <w:t>2g</w:t>
      </w:r>
      <w:r w:rsidRPr="00FB5D9D">
        <w:rPr>
          <w:lang w:val="en-GB"/>
        </w:rPr>
        <w:t xml:space="preserve">-like Co-based spin orbitals {the </w:t>
      </w:r>
      <w:r w:rsidRPr="00FB5D9D">
        <w:rPr>
          <w:rFonts w:ascii="Symbol" w:eastAsia="Symbol" w:hAnsi="Symbol" w:cs="Symbol"/>
          <w:vertAlign w:val="superscript"/>
          <w:lang w:val="en-GB"/>
        </w:rPr>
        <w:t></w:t>
      </w:r>
      <w:r w:rsidRPr="00FB5D9D">
        <w:rPr>
          <w:rFonts w:ascii="Symbol" w:eastAsia="Symbol" w:hAnsi="Symbol" w:cs="Symbol"/>
          <w:vertAlign w:val="superscript"/>
          <w:lang w:val="en-GB"/>
        </w:rPr>
        <w:t></w:t>
      </w:r>
      <w:r w:rsidRPr="00FB5D9D">
        <w:rPr>
          <w:rFonts w:ascii="Symbol" w:eastAsia="Symbol" w:hAnsi="Symbol" w:cs="Symbol"/>
          <w:vertAlign w:val="superscript"/>
          <w:lang w:val="en-GB"/>
        </w:rPr>
        <w:t></w:t>
      </w:r>
      <w:r w:rsidRPr="00FB5D9D">
        <w:rPr>
          <w:lang w:val="en-GB"/>
        </w:rPr>
        <w:t>35b</w:t>
      </w:r>
      <w:r w:rsidRPr="00FB5D9D">
        <w:rPr>
          <w:vertAlign w:val="subscript"/>
          <w:lang w:val="en-GB"/>
        </w:rPr>
        <w:t>1</w:t>
      </w:r>
      <w:r w:rsidRPr="00FB5D9D">
        <w:rPr>
          <w:lang w:val="en-GB"/>
        </w:rPr>
        <w:t xml:space="preserve">, </w:t>
      </w:r>
      <w:r w:rsidRPr="00FB5D9D">
        <w:rPr>
          <w:rFonts w:ascii="Symbol" w:eastAsia="Symbol" w:hAnsi="Symbol" w:cs="Symbol"/>
          <w:vertAlign w:val="superscript"/>
          <w:lang w:val="en-GB"/>
        </w:rPr>
        <w:t></w:t>
      </w:r>
      <w:r w:rsidRPr="00FB5D9D">
        <w:rPr>
          <w:rFonts w:ascii="Symbol" w:eastAsia="Symbol" w:hAnsi="Symbol" w:cs="Symbol"/>
          <w:vertAlign w:val="superscript"/>
          <w:lang w:val="en-GB"/>
        </w:rPr>
        <w:t></w:t>
      </w:r>
      <w:r w:rsidRPr="00FB5D9D">
        <w:rPr>
          <w:rFonts w:ascii="Symbol" w:eastAsia="Symbol" w:hAnsi="Symbol" w:cs="Symbol"/>
          <w:vertAlign w:val="superscript"/>
          <w:lang w:val="en-GB"/>
        </w:rPr>
        <w:t></w:t>
      </w:r>
      <w:r w:rsidRPr="00FB5D9D">
        <w:rPr>
          <w:lang w:val="en-GB"/>
        </w:rPr>
        <w:t>33b</w:t>
      </w:r>
      <w:r w:rsidRPr="00FB5D9D">
        <w:rPr>
          <w:vertAlign w:val="subscript"/>
          <w:lang w:val="en-GB"/>
        </w:rPr>
        <w:t>2</w:t>
      </w:r>
      <w:r w:rsidRPr="00FB5D9D">
        <w:rPr>
          <w:lang w:val="en-GB"/>
        </w:rPr>
        <w:t xml:space="preserve">, </w:t>
      </w:r>
      <w:r w:rsidRPr="00FB5D9D">
        <w:rPr>
          <w:rFonts w:ascii="Symbol" w:eastAsia="Symbol" w:hAnsi="Symbol" w:cs="Symbol"/>
          <w:vertAlign w:val="superscript"/>
          <w:lang w:val="en-GB"/>
        </w:rPr>
        <w:t></w:t>
      </w:r>
      <w:r w:rsidRPr="00FB5D9D">
        <w:rPr>
          <w:rFonts w:ascii="Symbol" w:eastAsia="Symbol" w:hAnsi="Symbol" w:cs="Symbol"/>
          <w:vertAlign w:val="superscript"/>
          <w:lang w:val="en-GB"/>
        </w:rPr>
        <w:t></w:t>
      </w:r>
      <w:r w:rsidRPr="00FB5D9D">
        <w:rPr>
          <w:rFonts w:ascii="Symbol" w:eastAsia="Symbol" w:hAnsi="Symbol" w:cs="Symbol"/>
          <w:vertAlign w:val="superscript"/>
          <w:lang w:val="en-GB"/>
        </w:rPr>
        <w:t></w:t>
      </w:r>
      <w:r w:rsidRPr="00FB5D9D">
        <w:rPr>
          <w:lang w:val="en-GB"/>
        </w:rPr>
        <w:t>46a</w:t>
      </w:r>
      <w:r w:rsidRPr="00FB5D9D">
        <w:rPr>
          <w:vertAlign w:val="subscript"/>
          <w:lang w:val="en-GB"/>
        </w:rPr>
        <w:t>1</w:t>
      </w:r>
      <w:r w:rsidRPr="00FB5D9D">
        <w:rPr>
          <w:lang w:val="en-GB"/>
        </w:rPr>
        <w:t xml:space="preserve"> levels in Cu–CoTPP–NO</w:t>
      </w:r>
      <w:r w:rsidRPr="00FB5D9D">
        <w:rPr>
          <w:vertAlign w:val="subscript"/>
          <w:lang w:val="en-GB"/>
        </w:rPr>
        <w:t>2</w:t>
      </w:r>
      <w:r w:rsidRPr="00FB5D9D">
        <w:rPr>
          <w:lang w:val="en-GB"/>
        </w:rPr>
        <w:t xml:space="preserve">; the </w:t>
      </w:r>
      <w:r w:rsidRPr="00FB5D9D">
        <w:rPr>
          <w:rFonts w:ascii="Symbol" w:eastAsia="Symbol" w:hAnsi="Symbol" w:cs="Symbol"/>
          <w:vertAlign w:val="superscript"/>
          <w:lang w:val="en-GB"/>
        </w:rPr>
        <w:t></w:t>
      </w:r>
      <w:r w:rsidRPr="00FB5D9D">
        <w:rPr>
          <w:rFonts w:ascii="Symbol" w:eastAsia="Symbol" w:hAnsi="Symbol" w:cs="Symbol"/>
          <w:vertAlign w:val="superscript"/>
          <w:lang w:val="en-GB"/>
        </w:rPr>
        <w:t></w:t>
      </w:r>
      <w:r w:rsidRPr="00FB5D9D">
        <w:rPr>
          <w:rFonts w:ascii="Symbol" w:eastAsia="Symbol" w:hAnsi="Symbol" w:cs="Symbol"/>
          <w:vertAlign w:val="superscript"/>
          <w:lang w:val="en-GB"/>
        </w:rPr>
        <w:t></w:t>
      </w:r>
      <w:r w:rsidRPr="00FB5D9D">
        <w:rPr>
          <w:lang w:val="en-GB"/>
        </w:rPr>
        <w:t>35b</w:t>
      </w:r>
      <w:r w:rsidRPr="00FB5D9D">
        <w:rPr>
          <w:vertAlign w:val="subscript"/>
          <w:lang w:val="en-GB"/>
        </w:rPr>
        <w:t>1</w:t>
      </w:r>
      <w:r w:rsidRPr="00FB5D9D">
        <w:rPr>
          <w:lang w:val="en-GB"/>
        </w:rPr>
        <w:t xml:space="preserve">, </w:t>
      </w:r>
      <w:r w:rsidRPr="00FB5D9D">
        <w:rPr>
          <w:rFonts w:ascii="Symbol" w:eastAsia="Symbol" w:hAnsi="Symbol" w:cs="Symbol"/>
          <w:vertAlign w:val="superscript"/>
          <w:lang w:val="en-GB"/>
        </w:rPr>
        <w:t></w:t>
      </w:r>
      <w:r w:rsidRPr="00FB5D9D">
        <w:rPr>
          <w:rFonts w:ascii="Symbol" w:eastAsia="Symbol" w:hAnsi="Symbol" w:cs="Symbol"/>
          <w:vertAlign w:val="superscript"/>
          <w:lang w:val="en-GB"/>
        </w:rPr>
        <w:t></w:t>
      </w:r>
      <w:r w:rsidRPr="00FB5D9D">
        <w:rPr>
          <w:rFonts w:ascii="Symbol" w:eastAsia="Symbol" w:hAnsi="Symbol" w:cs="Symbol"/>
          <w:vertAlign w:val="superscript"/>
          <w:lang w:val="en-GB"/>
        </w:rPr>
        <w:t></w:t>
      </w:r>
      <w:r w:rsidRPr="00FB5D9D">
        <w:rPr>
          <w:lang w:val="en-GB"/>
        </w:rPr>
        <w:t>33b</w:t>
      </w:r>
      <w:r w:rsidRPr="00FB5D9D">
        <w:rPr>
          <w:vertAlign w:val="subscript"/>
          <w:lang w:val="en-GB"/>
        </w:rPr>
        <w:t>2</w:t>
      </w:r>
      <w:r w:rsidRPr="00FB5D9D">
        <w:rPr>
          <w:lang w:val="en-GB"/>
        </w:rPr>
        <w:t xml:space="preserve">, </w:t>
      </w:r>
      <w:r w:rsidRPr="00FB5D9D">
        <w:rPr>
          <w:rFonts w:ascii="Symbol" w:eastAsia="Symbol" w:hAnsi="Symbol" w:cs="Symbol"/>
          <w:vertAlign w:val="superscript"/>
          <w:lang w:val="en-GB"/>
        </w:rPr>
        <w:t></w:t>
      </w:r>
      <w:r w:rsidRPr="00FB5D9D">
        <w:rPr>
          <w:rFonts w:ascii="Symbol" w:eastAsia="Symbol" w:hAnsi="Symbol" w:cs="Symbol"/>
          <w:vertAlign w:val="superscript"/>
          <w:lang w:val="en-GB"/>
        </w:rPr>
        <w:t></w:t>
      </w:r>
      <w:r w:rsidRPr="00FB5D9D">
        <w:rPr>
          <w:rFonts w:ascii="Symbol" w:eastAsia="Symbol" w:hAnsi="Symbol" w:cs="Symbol"/>
          <w:vertAlign w:val="superscript"/>
          <w:lang w:val="en-GB"/>
        </w:rPr>
        <w:t></w:t>
      </w:r>
      <w:r w:rsidRPr="00FB5D9D">
        <w:rPr>
          <w:lang w:val="en-GB"/>
        </w:rPr>
        <w:t>48a</w:t>
      </w:r>
      <w:r w:rsidRPr="00FB5D9D">
        <w:rPr>
          <w:vertAlign w:val="subscript"/>
          <w:lang w:val="en-GB"/>
        </w:rPr>
        <w:t>1</w:t>
      </w:r>
      <w:r w:rsidRPr="00FB5D9D">
        <w:rPr>
          <w:lang w:val="en-GB"/>
        </w:rPr>
        <w:t xml:space="preserve"> levels in Ag–CoTPP–NO</w:t>
      </w:r>
      <w:r w:rsidRPr="00FB5D9D">
        <w:rPr>
          <w:vertAlign w:val="subscript"/>
          <w:lang w:val="en-GB"/>
        </w:rPr>
        <w:t>2</w:t>
      </w:r>
      <w:r w:rsidRPr="00FB5D9D">
        <w:rPr>
          <w:lang w:val="en-GB"/>
        </w:rPr>
        <w:t xml:space="preserve">; the </w:t>
      </w:r>
      <w:r w:rsidRPr="00FB5D9D">
        <w:rPr>
          <w:rFonts w:ascii="Symbol" w:eastAsia="Symbol" w:hAnsi="Symbol" w:cs="Symbol"/>
          <w:vertAlign w:val="superscript"/>
          <w:lang w:val="en-GB"/>
        </w:rPr>
        <w:t></w:t>
      </w:r>
      <w:r w:rsidRPr="00FB5D9D">
        <w:rPr>
          <w:rFonts w:ascii="Symbol" w:eastAsia="Symbol" w:hAnsi="Symbol" w:cs="Symbol"/>
          <w:vertAlign w:val="superscript"/>
          <w:lang w:val="en-GB"/>
        </w:rPr>
        <w:t></w:t>
      </w:r>
      <w:r w:rsidRPr="00FB5D9D">
        <w:rPr>
          <w:rFonts w:ascii="Symbol" w:eastAsia="Symbol" w:hAnsi="Symbol" w:cs="Symbol"/>
          <w:vertAlign w:val="superscript"/>
          <w:lang w:val="en-GB"/>
        </w:rPr>
        <w:t></w:t>
      </w:r>
      <w:r w:rsidRPr="00FB5D9D">
        <w:rPr>
          <w:lang w:val="en-GB"/>
        </w:rPr>
        <w:t>35b</w:t>
      </w:r>
      <w:r w:rsidRPr="00FB5D9D">
        <w:rPr>
          <w:vertAlign w:val="subscript"/>
          <w:lang w:val="en-GB"/>
        </w:rPr>
        <w:t>1</w:t>
      </w:r>
      <w:r w:rsidRPr="00FB5D9D">
        <w:rPr>
          <w:lang w:val="en-GB"/>
        </w:rPr>
        <w:t xml:space="preserve">, </w:t>
      </w:r>
      <w:r w:rsidRPr="00FB5D9D">
        <w:rPr>
          <w:rFonts w:ascii="Symbol" w:eastAsia="Symbol" w:hAnsi="Symbol" w:cs="Symbol"/>
          <w:vertAlign w:val="superscript"/>
          <w:lang w:val="en-GB"/>
        </w:rPr>
        <w:t></w:t>
      </w:r>
      <w:r w:rsidRPr="00FB5D9D">
        <w:rPr>
          <w:rFonts w:ascii="Symbol" w:eastAsia="Symbol" w:hAnsi="Symbol" w:cs="Symbol"/>
          <w:vertAlign w:val="superscript"/>
          <w:lang w:val="en-GB"/>
        </w:rPr>
        <w:t></w:t>
      </w:r>
      <w:r w:rsidRPr="00FB5D9D">
        <w:rPr>
          <w:rFonts w:ascii="Symbol" w:eastAsia="Symbol" w:hAnsi="Symbol" w:cs="Symbol"/>
          <w:vertAlign w:val="superscript"/>
          <w:lang w:val="en-GB"/>
        </w:rPr>
        <w:t></w:t>
      </w:r>
      <w:r w:rsidRPr="00FB5D9D">
        <w:rPr>
          <w:lang w:val="en-GB"/>
        </w:rPr>
        <w:t>37b</w:t>
      </w:r>
      <w:r w:rsidRPr="00FB5D9D">
        <w:rPr>
          <w:vertAlign w:val="subscript"/>
          <w:lang w:val="en-GB"/>
        </w:rPr>
        <w:t>2</w:t>
      </w:r>
      <w:r w:rsidRPr="00FB5D9D">
        <w:rPr>
          <w:lang w:val="en-GB"/>
        </w:rPr>
        <w:t xml:space="preserve">, </w:t>
      </w:r>
      <w:r w:rsidRPr="00FB5D9D">
        <w:rPr>
          <w:rFonts w:ascii="Symbol" w:eastAsia="Symbol" w:hAnsi="Symbol" w:cs="Symbol"/>
          <w:vertAlign w:val="superscript"/>
          <w:lang w:val="en-GB"/>
        </w:rPr>
        <w:t></w:t>
      </w:r>
      <w:r w:rsidRPr="00FB5D9D">
        <w:rPr>
          <w:rFonts w:ascii="Symbol" w:eastAsia="Symbol" w:hAnsi="Symbol" w:cs="Symbol"/>
          <w:vertAlign w:val="superscript"/>
          <w:lang w:val="en-GB"/>
        </w:rPr>
        <w:t></w:t>
      </w:r>
      <w:r w:rsidRPr="00FB5D9D">
        <w:rPr>
          <w:rFonts w:ascii="Symbol" w:eastAsia="Symbol" w:hAnsi="Symbol" w:cs="Symbol"/>
          <w:vertAlign w:val="superscript"/>
          <w:lang w:val="en-GB"/>
        </w:rPr>
        <w:t></w:t>
      </w:r>
      <w:r w:rsidRPr="00FB5D9D">
        <w:rPr>
          <w:lang w:val="en-GB"/>
        </w:rPr>
        <w:t>50a</w:t>
      </w:r>
      <w:r w:rsidRPr="00FB5D9D">
        <w:rPr>
          <w:vertAlign w:val="subscript"/>
          <w:lang w:val="en-GB"/>
        </w:rPr>
        <w:t>1</w:t>
      </w:r>
      <w:r w:rsidRPr="00FB5D9D">
        <w:rPr>
          <w:lang w:val="en-GB"/>
        </w:rPr>
        <w:t xml:space="preserve"> levels in Au–CoTPP–NO</w:t>
      </w:r>
      <w:r w:rsidRPr="00FB5D9D">
        <w:rPr>
          <w:vertAlign w:val="subscript"/>
          <w:lang w:val="en-GB"/>
        </w:rPr>
        <w:t>2</w:t>
      </w:r>
      <w:r w:rsidRPr="00FB5D9D">
        <w:rPr>
          <w:lang w:val="en-GB"/>
        </w:rPr>
        <w:t>} are occupied). Even though the MS–CoTPP–NO</w:t>
      </w:r>
      <w:r w:rsidRPr="00FB5D9D">
        <w:rPr>
          <w:vertAlign w:val="subscript"/>
          <w:lang w:val="en-GB"/>
        </w:rPr>
        <w:t>2</w:t>
      </w:r>
      <w:r w:rsidRPr="00FB5D9D">
        <w:rPr>
          <w:lang w:val="en-GB"/>
        </w:rPr>
        <w:t xml:space="preserve"> magnetic behaviour is closely reminiscent of the CoTPP–NO</w:t>
      </w:r>
      <w:r w:rsidRPr="00FB5D9D">
        <w:rPr>
          <w:vertAlign w:val="subscript"/>
          <w:lang w:val="en-GB"/>
        </w:rPr>
        <w:t>2</w:t>
      </w:r>
      <w:r w:rsidRPr="00FB5D9D">
        <w:rPr>
          <w:lang w:val="en-GB"/>
        </w:rPr>
        <w:t xml:space="preserve"> one (no “switch on” effect takes place upon chemisorption of NO</w:t>
      </w:r>
      <w:r w:rsidRPr="00FB5D9D">
        <w:rPr>
          <w:vertAlign w:val="subscript"/>
          <w:lang w:val="en-GB"/>
        </w:rPr>
        <w:t>2</w:t>
      </w:r>
      <w:r w:rsidRPr="00FB5D9D">
        <w:rPr>
          <w:lang w:val="en-GB"/>
        </w:rPr>
        <w:t xml:space="preserve">), it must be underlined that, similarly to MS–CoTPP–NO, the </w:t>
      </w:r>
      <w:r w:rsidRPr="00FB5D9D">
        <w:t>Au–CoTPP–NO</w:t>
      </w:r>
      <w:r w:rsidRPr="00FB5D9D">
        <w:rPr>
          <w:vertAlign w:val="subscript"/>
        </w:rPr>
        <w:t>2</w:t>
      </w:r>
      <w:r w:rsidRPr="00FB5D9D">
        <w:t xml:space="preserve"> frontier electronic structure differs from the Cu–CoTPP–NO</w:t>
      </w:r>
      <w:r w:rsidRPr="00FB5D9D">
        <w:rPr>
          <w:vertAlign w:val="subscript"/>
        </w:rPr>
        <w:t>2</w:t>
      </w:r>
      <w:r w:rsidRPr="00FB5D9D">
        <w:t xml:space="preserve"> and Ag–CoTPP–NO</w:t>
      </w:r>
      <w:r w:rsidRPr="00FB5D9D">
        <w:rPr>
          <w:vertAlign w:val="subscript"/>
        </w:rPr>
        <w:t>2</w:t>
      </w:r>
      <w:r w:rsidRPr="00FB5D9D">
        <w:t xml:space="preserve"> ones as a consequence of the diverse MS–CoTPP interaction on passing from Cu/Ag to Au. The NO</w:t>
      </w:r>
      <w:r w:rsidRPr="00FB5D9D">
        <w:rPr>
          <w:vertAlign w:val="subscript"/>
        </w:rPr>
        <w:t>2</w:t>
      </w:r>
      <w:r w:rsidRPr="00FB5D9D">
        <w:t xml:space="preserve"> chemisorption on the Au–CoTPP species has then a “switch off” effect on the CoTPP magnetization. Once again these results agree with experimental data and periodic calculations on Au-CoTPP-NO</w:t>
      </w:r>
      <w:r w:rsidRPr="00FB5D9D">
        <w:rPr>
          <w:vertAlign w:val="subscript"/>
        </w:rPr>
        <w:t>2</w:t>
      </w:r>
      <w:r w:rsidRPr="00FB5D9D">
        <w:t xml:space="preserve"> [</w:t>
      </w:r>
      <w:r w:rsidRPr="00FB5D9D">
        <w:fldChar w:fldCharType="begin"/>
      </w:r>
      <w:r w:rsidRPr="00FB5D9D">
        <w:instrText xml:space="preserve"> REF _Ref82088372 \r \h </w:instrText>
      </w:r>
      <w:r>
        <w:instrText xml:space="preserve"> \* MERGEFORMAT </w:instrText>
      </w:r>
      <w:r w:rsidRPr="00FB5D9D">
        <w:fldChar w:fldCharType="separate"/>
      </w:r>
      <w:r w:rsidRPr="00FB5D9D">
        <w:t>18</w:t>
      </w:r>
      <w:r w:rsidRPr="00FB5D9D">
        <w:fldChar w:fldCharType="end"/>
      </w:r>
      <w:r w:rsidRPr="00FB5D9D">
        <w:t>,</w:t>
      </w:r>
      <w:r w:rsidRPr="00FB5D9D">
        <w:fldChar w:fldCharType="begin"/>
      </w:r>
      <w:r w:rsidRPr="00FB5D9D">
        <w:instrText xml:space="preserve"> REF _Ref82088965 \r \h </w:instrText>
      </w:r>
      <w:r>
        <w:instrText xml:space="preserve"> \* MERGEFORMAT </w:instrText>
      </w:r>
      <w:r w:rsidRPr="00FB5D9D">
        <w:fldChar w:fldCharType="separate"/>
      </w:r>
      <w:r w:rsidRPr="00FB5D9D">
        <w:t>21</w:t>
      </w:r>
      <w:r w:rsidRPr="00FB5D9D">
        <w:fldChar w:fldCharType="end"/>
      </w:r>
      <w:r w:rsidRPr="00FB5D9D">
        <w:t>].</w:t>
      </w:r>
    </w:p>
    <w:p w:rsidR="00FB5D9D" w:rsidRPr="00FB5D9D" w:rsidRDefault="00FB5D9D" w:rsidP="00FB5D9D">
      <w:pPr>
        <w:pStyle w:val="MDPI31text"/>
        <w:rPr>
          <w:lang w:val="en-GB"/>
        </w:rPr>
      </w:pPr>
      <w:r w:rsidRPr="00FB5D9D">
        <w:rPr>
          <w:lang w:val="en-GB"/>
        </w:rPr>
        <w:t>Any attempt to optimize the geometry of the MS–CoTPP–(</w:t>
      </w:r>
      <w:r w:rsidRPr="00FB5D9D">
        <w:rPr>
          <w:rFonts w:ascii="Symbol" w:eastAsia="Symbol" w:hAnsi="Symbol" w:cs="Symbol"/>
          <w:lang w:val="en-GB"/>
        </w:rPr>
        <w:t></w:t>
      </w:r>
      <w:r w:rsidRPr="00FB5D9D">
        <w:rPr>
          <w:vertAlign w:val="superscript"/>
          <w:lang w:val="en-GB"/>
        </w:rPr>
        <w:t>1</w:t>
      </w:r>
      <w:r w:rsidRPr="00FB5D9D">
        <w:rPr>
          <w:lang w:val="en-GB"/>
        </w:rPr>
        <w:t>-O</w:t>
      </w:r>
      <w:r w:rsidRPr="00FB5D9D">
        <w:rPr>
          <w:vertAlign w:val="subscript"/>
          <w:lang w:val="en-GB"/>
        </w:rPr>
        <w:t>2</w:t>
      </w:r>
      <w:r w:rsidRPr="00FB5D9D">
        <w:rPr>
          <w:lang w:val="en-GB"/>
        </w:rPr>
        <w:t>) cluster with a</w:t>
      </w:r>
      <w:r w:rsidRPr="00FB5D9D">
        <w:rPr>
          <w:rFonts w:ascii="Times New Roman" w:hAnsi="Times New Roman"/>
          <w:lang/>
        </w:rPr>
        <w:t>n</w:t>
      </w:r>
      <w:r w:rsidRPr="00FB5D9D">
        <w:rPr>
          <w:lang w:val="en-GB"/>
        </w:rPr>
        <w:t xml:space="preserve"> LS configuration (no unpaired electrons) failed, while the HS (two unpaired electrons) geometry optimization converged rapidly, smoothly, and systematically. Such</w:t>
      </w:r>
      <w:r w:rsidRPr="00FB5D9D">
        <w:rPr>
          <w:rFonts w:ascii="Times New Roman" w:hAnsi="Times New Roman"/>
          <w:lang/>
        </w:rPr>
        <w:t xml:space="preserve"> </w:t>
      </w:r>
      <w:r w:rsidRPr="00FB5D9D">
        <w:rPr>
          <w:lang w:val="en-GB"/>
        </w:rPr>
        <w:t>peculiar behaviour has to be traced back to the electron transfer processes involving at the same time the Co, MS and O</w:t>
      </w:r>
      <w:r w:rsidRPr="00FB5D9D">
        <w:rPr>
          <w:vertAlign w:val="subscript"/>
          <w:lang w:val="en-GB"/>
        </w:rPr>
        <w:t>2</w:t>
      </w:r>
      <w:r w:rsidRPr="00FB5D9D">
        <w:rPr>
          <w:lang w:val="en-GB"/>
        </w:rPr>
        <w:t xml:space="preserve"> species (see below). </w:t>
      </w:r>
    </w:p>
    <w:p w:rsidR="00FB5D9D" w:rsidRPr="00FB5D9D" w:rsidRDefault="00FB5D9D" w:rsidP="00FB5D9D">
      <w:pPr>
        <w:pStyle w:val="MDPI31text"/>
        <w:rPr>
          <w:lang w:val="en-GB"/>
        </w:rPr>
      </w:pPr>
      <w:r w:rsidRPr="00FB5D9D">
        <w:rPr>
          <w:rFonts w:ascii="Times New Roman" w:hAnsi="Times New Roman"/>
          <w:lang/>
        </w:rPr>
        <w:t>Aside from the expected decreases in</w:t>
      </w:r>
      <w:r w:rsidRPr="00FB5D9D">
        <w:rPr>
          <w:lang w:val="en-GB"/>
        </w:rPr>
        <w:t xml:space="preserve"> </w:t>
      </w:r>
      <w:r w:rsidRPr="00FB5D9D">
        <w:rPr>
          <w:i/>
          <w:lang w:val="en-GB"/>
        </w:rPr>
        <w:t>BE</w:t>
      </w:r>
      <w:r w:rsidRPr="00FB5D9D">
        <w:rPr>
          <w:vertAlign w:val="subscript"/>
          <w:lang w:val="en-GB"/>
        </w:rPr>
        <w:t>MS–Co</w:t>
      </w:r>
      <w:r w:rsidRPr="00FB5D9D">
        <w:rPr>
          <w:lang w:val="en-GB"/>
        </w:rPr>
        <w:t xml:space="preserve"> and </w:t>
      </w:r>
      <w:r w:rsidRPr="00FB5D9D">
        <w:rPr>
          <w:i/>
          <w:lang w:val="en-GB"/>
        </w:rPr>
        <w:t>BE</w:t>
      </w:r>
      <w:r w:rsidRPr="00FB5D9D">
        <w:rPr>
          <w:vertAlign w:val="subscript"/>
          <w:lang w:val="en-GB"/>
        </w:rPr>
        <w:t>Co–O</w:t>
      </w:r>
      <w:r w:rsidRPr="00FB5D9D">
        <w:rPr>
          <w:lang w:val="en-GB"/>
        </w:rPr>
        <w:t xml:space="preserve"> (see Tables S31, S34-S37</w:t>
      </w:r>
      <w:r w:rsidRPr="00FB5D9D">
        <w:rPr>
          <w:color w:val="000000" w:themeColor="text1"/>
          <w:lang w:val="en-GB"/>
        </w:rPr>
        <w:t>)</w:t>
      </w:r>
      <w:r w:rsidRPr="00FB5D9D">
        <w:rPr>
          <w:lang w:val="en-GB"/>
        </w:rPr>
        <w:t xml:space="preserve"> </w:t>
      </w:r>
      <w:r w:rsidRPr="00FB5D9D">
        <w:rPr>
          <w:rFonts w:ascii="Times New Roman" w:hAnsi="Times New Roman"/>
          <w:lang/>
        </w:rPr>
        <w:t>and</w:t>
      </w:r>
      <w:r w:rsidRPr="00FB5D9D">
        <w:rPr>
          <w:lang w:val="en-GB"/>
        </w:rPr>
        <w:t xml:space="preserve"> the BL</w:t>
      </w:r>
      <w:r w:rsidRPr="00FB5D9D">
        <w:rPr>
          <w:vertAlign w:val="subscript"/>
          <w:lang w:val="en-GB"/>
        </w:rPr>
        <w:t>MS–Co</w:t>
      </w:r>
      <w:r w:rsidRPr="00FB5D9D">
        <w:rPr>
          <w:color w:val="000000" w:themeColor="text1"/>
          <w:lang w:val="en-GB"/>
        </w:rPr>
        <w:t xml:space="preserve"> and BL</w:t>
      </w:r>
      <w:r w:rsidRPr="00FB5D9D">
        <w:rPr>
          <w:color w:val="000000" w:themeColor="text1"/>
          <w:vertAlign w:val="subscript"/>
          <w:lang w:val="en-GB"/>
        </w:rPr>
        <w:t>Co–C/N/O</w:t>
      </w:r>
      <w:r w:rsidRPr="00FB5D9D">
        <w:rPr>
          <w:color w:val="000000" w:themeColor="text1"/>
          <w:lang w:val="en-GB"/>
        </w:rPr>
        <w:t xml:space="preserve"> increasing </w:t>
      </w:r>
      <w:r w:rsidRPr="00FB5D9D">
        <w:rPr>
          <w:lang w:val="en-GB"/>
        </w:rPr>
        <w:t>(see Tables S31, S34-S37</w:t>
      </w:r>
      <w:r w:rsidRPr="00FB5D9D">
        <w:rPr>
          <w:color w:val="000000" w:themeColor="text1"/>
          <w:lang w:val="en-GB"/>
        </w:rPr>
        <w:t>) upon moving from MS–CoTPP and CoTPP–</w:t>
      </w:r>
      <w:r w:rsidRPr="00FB5D9D">
        <w:rPr>
          <w:lang w:val="en-GB"/>
        </w:rPr>
        <w:t>(</w:t>
      </w:r>
      <w:r w:rsidRPr="00FB5D9D">
        <w:rPr>
          <w:rFonts w:ascii="Symbol" w:eastAsia="Symbol" w:hAnsi="Symbol" w:cs="Symbol"/>
          <w:lang w:val="en-GB"/>
        </w:rPr>
        <w:t></w:t>
      </w:r>
      <w:r w:rsidRPr="00FB5D9D">
        <w:rPr>
          <w:vertAlign w:val="superscript"/>
          <w:lang w:val="en-GB"/>
        </w:rPr>
        <w:t>1</w:t>
      </w:r>
      <w:r w:rsidRPr="00FB5D9D">
        <w:rPr>
          <w:lang w:val="en-GB"/>
        </w:rPr>
        <w:t>-O</w:t>
      </w:r>
      <w:r w:rsidRPr="00FB5D9D">
        <w:rPr>
          <w:vertAlign w:val="subscript"/>
          <w:lang w:val="en-GB"/>
        </w:rPr>
        <w:t>2</w:t>
      </w:r>
      <w:r w:rsidRPr="00FB5D9D">
        <w:rPr>
          <w:lang w:val="en-GB"/>
        </w:rPr>
        <w:t>) to MS–CoTPP–(</w:t>
      </w:r>
      <w:r w:rsidRPr="00FB5D9D">
        <w:rPr>
          <w:rFonts w:ascii="Symbol" w:eastAsia="Symbol" w:hAnsi="Symbol" w:cs="Symbol"/>
          <w:lang w:val="en-GB"/>
        </w:rPr>
        <w:t></w:t>
      </w:r>
      <w:r w:rsidRPr="00FB5D9D">
        <w:rPr>
          <w:vertAlign w:val="superscript"/>
          <w:lang w:val="en-GB"/>
        </w:rPr>
        <w:t>1</w:t>
      </w:r>
      <w:r w:rsidRPr="00FB5D9D">
        <w:rPr>
          <w:lang w:val="en-GB"/>
        </w:rPr>
        <w:t>-O</w:t>
      </w:r>
      <w:r w:rsidRPr="00FB5D9D">
        <w:rPr>
          <w:vertAlign w:val="subscript"/>
          <w:lang w:val="en-GB"/>
        </w:rPr>
        <w:t>2</w:t>
      </w:r>
      <w:r w:rsidRPr="00FB5D9D">
        <w:rPr>
          <w:lang w:val="en-GB"/>
        </w:rPr>
        <w:t>), a thorough analysis of the MS–CoTPP–(</w:t>
      </w:r>
      <w:r w:rsidRPr="00FB5D9D">
        <w:rPr>
          <w:rFonts w:ascii="Symbol" w:eastAsia="Symbol" w:hAnsi="Symbol" w:cs="Symbol"/>
          <w:lang w:val="en-GB"/>
        </w:rPr>
        <w:t></w:t>
      </w:r>
      <w:r w:rsidRPr="00FB5D9D">
        <w:rPr>
          <w:vertAlign w:val="superscript"/>
          <w:lang w:val="en-GB"/>
        </w:rPr>
        <w:t>1</w:t>
      </w:r>
      <w:r w:rsidRPr="00FB5D9D">
        <w:rPr>
          <w:lang w:val="en-GB"/>
        </w:rPr>
        <w:t>-O</w:t>
      </w:r>
      <w:r w:rsidRPr="00FB5D9D">
        <w:rPr>
          <w:vertAlign w:val="subscript"/>
          <w:lang w:val="en-GB"/>
        </w:rPr>
        <w:t>2</w:t>
      </w:r>
      <w:r w:rsidRPr="00FB5D9D">
        <w:rPr>
          <w:lang w:val="en-GB"/>
        </w:rPr>
        <w:t>) frontier electronic structure revealed: i) the strong localization of the SOMO on the MS (</w:t>
      </w:r>
      <w:r w:rsidRPr="00FB5D9D">
        <w:rPr>
          <w:i/>
          <w:lang w:val="en-GB"/>
        </w:rPr>
        <w:t>n</w:t>
      </w:r>
      <w:r w:rsidRPr="00FB5D9D">
        <w:rPr>
          <w:lang w:val="en-GB"/>
        </w:rPr>
        <w:t xml:space="preserve">+1)s AO (see Figure 4), which is consistent with a MS </w:t>
      </w:r>
      <w:r w:rsidRPr="00FB5D9D">
        <w:rPr>
          <w:i/>
          <w:lang w:val="en-GB"/>
        </w:rPr>
        <w:t>n</w:t>
      </w:r>
      <w:r w:rsidRPr="00FB5D9D">
        <w:rPr>
          <w:lang w:val="en-GB"/>
        </w:rPr>
        <w:t>d</w:t>
      </w:r>
      <w:r w:rsidRPr="00FB5D9D">
        <w:rPr>
          <w:vertAlign w:val="superscript"/>
          <w:lang w:val="en-GB"/>
        </w:rPr>
        <w:t>10</w:t>
      </w:r>
      <w:r w:rsidRPr="00FB5D9D">
        <w:rPr>
          <w:lang w:val="en-GB"/>
        </w:rPr>
        <w:t>(</w:t>
      </w:r>
      <w:r w:rsidRPr="00FB5D9D">
        <w:rPr>
          <w:i/>
          <w:lang w:val="en-GB"/>
        </w:rPr>
        <w:t>n</w:t>
      </w:r>
      <w:r w:rsidRPr="00FB5D9D">
        <w:rPr>
          <w:lang w:val="en-GB"/>
        </w:rPr>
        <w:t>+1)s</w:t>
      </w:r>
      <w:r w:rsidRPr="00FB5D9D">
        <w:rPr>
          <w:vertAlign w:val="superscript"/>
          <w:lang w:val="en-GB"/>
        </w:rPr>
        <w:t>1</w:t>
      </w:r>
      <w:r w:rsidRPr="00FB5D9D">
        <w:rPr>
          <w:lang w:val="en-GB"/>
        </w:rPr>
        <w:t xml:space="preserve"> elemental electronic configuration (</w:t>
      </w:r>
      <w:r w:rsidRPr="00FB5D9D">
        <w:rPr>
          <w:i/>
          <w:lang w:val="en-GB"/>
        </w:rPr>
        <w:t>n</w:t>
      </w:r>
      <w:r w:rsidRPr="00FB5D9D">
        <w:rPr>
          <w:lang w:val="en-GB"/>
        </w:rPr>
        <w:t xml:space="preserve"> = 3, 4, 5 for MS = Cu, Ag, Au, respectively); ii) the occupied character of all but one (the </w:t>
      </w:r>
      <w:r w:rsidRPr="00FB5D9D">
        <w:rPr>
          <w:rFonts w:ascii="Symbol" w:eastAsia="Symbol" w:hAnsi="Symbol" w:cs="Symbol"/>
          <w:vertAlign w:val="superscript"/>
          <w:lang w:val="en-GB"/>
        </w:rPr>
        <w:t></w:t>
      </w:r>
      <w:r w:rsidRPr="00FB5D9D">
        <w:rPr>
          <w:lang w:val="en-GB"/>
        </w:rPr>
        <w:t>54a“ level in Cu–CoTPP–(</w:t>
      </w:r>
      <w:r w:rsidRPr="00FB5D9D">
        <w:rPr>
          <w:rFonts w:ascii="Symbol" w:eastAsia="Symbol" w:hAnsi="Symbol" w:cs="Symbol"/>
          <w:lang w:val="en-GB"/>
        </w:rPr>
        <w:t></w:t>
      </w:r>
      <w:r w:rsidRPr="00FB5D9D">
        <w:rPr>
          <w:vertAlign w:val="superscript"/>
          <w:lang w:val="en-GB"/>
        </w:rPr>
        <w:t>1</w:t>
      </w:r>
      <w:r w:rsidRPr="00FB5D9D">
        <w:rPr>
          <w:lang w:val="en-GB"/>
        </w:rPr>
        <w:t>-O</w:t>
      </w:r>
      <w:r w:rsidRPr="00FB5D9D">
        <w:rPr>
          <w:vertAlign w:val="subscript"/>
          <w:lang w:val="en-GB"/>
        </w:rPr>
        <w:t>2</w:t>
      </w:r>
      <w:r w:rsidRPr="00FB5D9D">
        <w:rPr>
          <w:lang w:val="en-GB"/>
        </w:rPr>
        <w:t xml:space="preserve">); the </w:t>
      </w:r>
      <w:r w:rsidRPr="00FB5D9D">
        <w:rPr>
          <w:rFonts w:ascii="Symbol" w:eastAsia="Symbol" w:hAnsi="Symbol" w:cs="Symbol"/>
          <w:vertAlign w:val="superscript"/>
          <w:lang w:val="en-GB"/>
        </w:rPr>
        <w:t></w:t>
      </w:r>
      <w:r w:rsidRPr="00FB5D9D">
        <w:rPr>
          <w:lang w:val="en-GB"/>
        </w:rPr>
        <w:t>54a“ level in Ag–CoTPP–(</w:t>
      </w:r>
      <w:r w:rsidRPr="00FB5D9D">
        <w:rPr>
          <w:rFonts w:ascii="Symbol" w:eastAsia="Symbol" w:hAnsi="Symbol" w:cs="Symbol"/>
          <w:lang w:val="en-GB"/>
        </w:rPr>
        <w:t></w:t>
      </w:r>
      <w:r w:rsidRPr="00FB5D9D">
        <w:rPr>
          <w:vertAlign w:val="superscript"/>
          <w:lang w:val="en-GB"/>
        </w:rPr>
        <w:t>1</w:t>
      </w:r>
      <w:r w:rsidRPr="00FB5D9D">
        <w:rPr>
          <w:lang w:val="en-GB"/>
        </w:rPr>
        <w:t>-O</w:t>
      </w:r>
      <w:r w:rsidRPr="00FB5D9D">
        <w:rPr>
          <w:vertAlign w:val="subscript"/>
          <w:lang w:val="en-GB"/>
        </w:rPr>
        <w:t>2</w:t>
      </w:r>
      <w:r w:rsidRPr="00FB5D9D">
        <w:rPr>
          <w:lang w:val="en-GB"/>
        </w:rPr>
        <w:t xml:space="preserve">); the </w:t>
      </w:r>
      <w:r w:rsidRPr="00FB5D9D">
        <w:rPr>
          <w:rFonts w:ascii="Symbol" w:eastAsia="Symbol" w:hAnsi="Symbol" w:cs="Symbol"/>
          <w:vertAlign w:val="superscript"/>
          <w:lang w:val="en-GB"/>
        </w:rPr>
        <w:t></w:t>
      </w:r>
      <w:r w:rsidRPr="00FB5D9D">
        <w:rPr>
          <w:lang w:val="en-GB"/>
        </w:rPr>
        <w:t>57a” level in Au–CoTPP–(</w:t>
      </w:r>
      <w:r w:rsidRPr="00FB5D9D">
        <w:rPr>
          <w:rFonts w:ascii="Symbol" w:eastAsia="Symbol" w:hAnsi="Symbol" w:cs="Symbol"/>
          <w:lang w:val="en-GB"/>
        </w:rPr>
        <w:t></w:t>
      </w:r>
      <w:r w:rsidRPr="00FB5D9D">
        <w:rPr>
          <w:vertAlign w:val="superscript"/>
          <w:lang w:val="en-GB"/>
        </w:rPr>
        <w:t>1</w:t>
      </w:r>
      <w:r w:rsidRPr="00FB5D9D">
        <w:rPr>
          <w:lang w:val="en-GB"/>
        </w:rPr>
        <w:t>-O</w:t>
      </w:r>
      <w:r w:rsidRPr="00FB5D9D">
        <w:rPr>
          <w:vertAlign w:val="subscript"/>
          <w:lang w:val="en-GB"/>
        </w:rPr>
        <w:t>2</w:t>
      </w:r>
      <w:r w:rsidRPr="00FB5D9D">
        <w:rPr>
          <w:lang w:val="en-GB"/>
        </w:rPr>
        <w:t xml:space="preserve">)) </w:t>
      </w:r>
      <w:r w:rsidRPr="00FB5D9D">
        <w:rPr>
          <w:rFonts w:ascii="Symbol" w:eastAsia="Symbol" w:hAnsi="Symbol" w:cs="Symbol"/>
          <w:lang w:val="en-GB"/>
        </w:rPr>
        <w:t></w:t>
      </w:r>
      <w:r w:rsidRPr="00FB5D9D">
        <w:rPr>
          <w:vertAlign w:val="subscript"/>
        </w:rPr>
        <w:t>g</w:t>
      </w:r>
      <w:r w:rsidRPr="00FB5D9D">
        <w:rPr>
          <w:lang w:val="en-GB"/>
        </w:rPr>
        <w:t xml:space="preserve"> O</w:t>
      </w:r>
      <w:r w:rsidRPr="00FB5D9D">
        <w:rPr>
          <w:vertAlign w:val="subscript"/>
          <w:lang w:val="en-GB"/>
        </w:rPr>
        <w:t>2</w:t>
      </w:r>
      <w:r w:rsidRPr="00FB5D9D">
        <w:rPr>
          <w:lang w:val="en-GB"/>
        </w:rPr>
        <w:t xml:space="preserve">-based spin-orbitals (the </w:t>
      </w:r>
      <w:r w:rsidRPr="00FB5D9D">
        <w:rPr>
          <w:rFonts w:ascii="Symbol" w:eastAsia="Symbol" w:hAnsi="Symbol" w:cs="Symbol"/>
          <w:vertAlign w:val="superscript"/>
          <w:lang w:val="en-GB"/>
        </w:rPr>
        <w:t></w:t>
      </w:r>
      <w:r w:rsidRPr="00FB5D9D">
        <w:rPr>
          <w:lang w:val="en-GB"/>
        </w:rPr>
        <w:t xml:space="preserve">50a“, </w:t>
      </w:r>
      <w:r w:rsidRPr="00FB5D9D">
        <w:rPr>
          <w:rFonts w:ascii="Symbol" w:eastAsia="Symbol" w:hAnsi="Symbol" w:cs="Symbol"/>
          <w:vertAlign w:val="superscript"/>
          <w:lang w:val="en-GB"/>
        </w:rPr>
        <w:t></w:t>
      </w:r>
      <w:r w:rsidRPr="00FB5D9D">
        <w:rPr>
          <w:lang w:val="en-GB"/>
        </w:rPr>
        <w:t>77a</w:t>
      </w:r>
      <w:r w:rsidRPr="00FB5D9D">
        <w:rPr>
          <w:rFonts w:ascii="Symbol" w:eastAsia="Symbol" w:hAnsi="Symbol" w:cs="Symbol"/>
          <w:lang w:val="en-GB"/>
        </w:rPr>
        <w:t></w:t>
      </w:r>
      <w:r w:rsidRPr="00FB5D9D">
        <w:rPr>
          <w:lang w:val="en-GB"/>
        </w:rPr>
        <w:t xml:space="preserve">, </w:t>
      </w:r>
      <w:r w:rsidRPr="00FB5D9D">
        <w:rPr>
          <w:rFonts w:ascii="Symbol" w:eastAsia="Symbol" w:hAnsi="Symbol" w:cs="Symbol"/>
          <w:vertAlign w:val="superscript"/>
          <w:lang w:val="en-GB"/>
        </w:rPr>
        <w:t></w:t>
      </w:r>
      <w:r w:rsidRPr="00FB5D9D">
        <w:rPr>
          <w:lang w:val="en-GB"/>
        </w:rPr>
        <w:t>81a</w:t>
      </w:r>
      <w:r w:rsidRPr="00FB5D9D">
        <w:rPr>
          <w:rFonts w:ascii="Symbol" w:eastAsia="Symbol" w:hAnsi="Symbol" w:cs="Symbol"/>
          <w:lang w:val="en-GB"/>
        </w:rPr>
        <w:t></w:t>
      </w:r>
      <w:r w:rsidRPr="00FB5D9D">
        <w:rPr>
          <w:lang w:val="en-GB"/>
        </w:rPr>
        <w:t xml:space="preserve">, </w:t>
      </w:r>
      <w:r w:rsidRPr="00FB5D9D">
        <w:rPr>
          <w:rFonts w:ascii="Symbol" w:eastAsia="Symbol" w:hAnsi="Symbol" w:cs="Symbol"/>
          <w:vertAlign w:val="superscript"/>
          <w:lang w:val="en-GB"/>
        </w:rPr>
        <w:t></w:t>
      </w:r>
      <w:r w:rsidRPr="00FB5D9D">
        <w:rPr>
          <w:lang w:val="en-GB"/>
        </w:rPr>
        <w:t>54a“ levels in Cu–CoTPP–(</w:t>
      </w:r>
      <w:r w:rsidRPr="00FB5D9D">
        <w:rPr>
          <w:rFonts w:ascii="Symbol" w:eastAsia="Symbol" w:hAnsi="Symbol" w:cs="Symbol"/>
          <w:lang w:val="en-GB"/>
        </w:rPr>
        <w:t></w:t>
      </w:r>
      <w:r w:rsidRPr="00FB5D9D">
        <w:rPr>
          <w:vertAlign w:val="superscript"/>
          <w:lang w:val="en-GB"/>
        </w:rPr>
        <w:t>1</w:t>
      </w:r>
      <w:r w:rsidRPr="00FB5D9D">
        <w:rPr>
          <w:lang w:val="en-GB"/>
        </w:rPr>
        <w:t>-O</w:t>
      </w:r>
      <w:r w:rsidRPr="00FB5D9D">
        <w:rPr>
          <w:vertAlign w:val="subscript"/>
          <w:lang w:val="en-GB"/>
        </w:rPr>
        <w:t>2</w:t>
      </w:r>
      <w:r w:rsidRPr="00FB5D9D">
        <w:rPr>
          <w:lang w:val="en-GB"/>
        </w:rPr>
        <w:t xml:space="preserve">); the </w:t>
      </w:r>
      <w:r w:rsidRPr="00FB5D9D">
        <w:rPr>
          <w:rFonts w:ascii="Symbol" w:eastAsia="Symbol" w:hAnsi="Symbol" w:cs="Symbol"/>
          <w:vertAlign w:val="superscript"/>
          <w:lang w:val="en-GB"/>
        </w:rPr>
        <w:t></w:t>
      </w:r>
      <w:r w:rsidRPr="00FB5D9D">
        <w:rPr>
          <w:lang w:val="en-GB"/>
        </w:rPr>
        <w:t xml:space="preserve">52a“, </w:t>
      </w:r>
      <w:r w:rsidRPr="00FB5D9D">
        <w:rPr>
          <w:rFonts w:ascii="Symbol" w:eastAsia="Symbol" w:hAnsi="Symbol" w:cs="Symbol"/>
          <w:vertAlign w:val="superscript"/>
          <w:lang w:val="en-GB"/>
        </w:rPr>
        <w:t></w:t>
      </w:r>
      <w:r w:rsidRPr="00FB5D9D">
        <w:rPr>
          <w:lang w:val="en-GB"/>
        </w:rPr>
        <w:t>79a</w:t>
      </w:r>
      <w:r w:rsidRPr="00FB5D9D">
        <w:rPr>
          <w:rFonts w:ascii="Symbol" w:eastAsia="Symbol" w:hAnsi="Symbol" w:cs="Symbol"/>
          <w:lang w:val="en-GB"/>
        </w:rPr>
        <w:t></w:t>
      </w:r>
      <w:r w:rsidRPr="00FB5D9D">
        <w:rPr>
          <w:lang w:val="en-GB"/>
        </w:rPr>
        <w:t xml:space="preserve">, </w:t>
      </w:r>
      <w:r w:rsidRPr="00FB5D9D">
        <w:rPr>
          <w:rFonts w:ascii="Symbol" w:eastAsia="Symbol" w:hAnsi="Symbol" w:cs="Symbol"/>
          <w:vertAlign w:val="superscript"/>
          <w:lang w:val="en-GB"/>
        </w:rPr>
        <w:t></w:t>
      </w:r>
      <w:r w:rsidRPr="00FB5D9D">
        <w:rPr>
          <w:lang w:val="en-GB"/>
        </w:rPr>
        <w:t>81a</w:t>
      </w:r>
      <w:r w:rsidRPr="00FB5D9D">
        <w:rPr>
          <w:rFonts w:ascii="Symbol" w:eastAsia="Symbol" w:hAnsi="Symbol" w:cs="Symbol"/>
          <w:lang w:val="en-GB"/>
        </w:rPr>
        <w:t></w:t>
      </w:r>
      <w:r w:rsidRPr="00FB5D9D">
        <w:rPr>
          <w:lang w:val="en-GB"/>
        </w:rPr>
        <w:t xml:space="preserve">, </w:t>
      </w:r>
      <w:r w:rsidRPr="00FB5D9D">
        <w:rPr>
          <w:rFonts w:ascii="Symbol" w:eastAsia="Symbol" w:hAnsi="Symbol" w:cs="Symbol"/>
          <w:vertAlign w:val="superscript"/>
          <w:lang w:val="en-GB"/>
        </w:rPr>
        <w:t></w:t>
      </w:r>
      <w:r w:rsidRPr="00FB5D9D">
        <w:rPr>
          <w:lang w:val="en-GB"/>
        </w:rPr>
        <w:t>54a“ levels in Ag–CoTPP–(</w:t>
      </w:r>
      <w:r w:rsidRPr="00FB5D9D">
        <w:rPr>
          <w:rFonts w:ascii="Symbol" w:eastAsia="Symbol" w:hAnsi="Symbol" w:cs="Symbol"/>
          <w:lang w:val="en-GB"/>
        </w:rPr>
        <w:t></w:t>
      </w:r>
      <w:r w:rsidRPr="00FB5D9D">
        <w:rPr>
          <w:vertAlign w:val="superscript"/>
          <w:lang w:val="en-GB"/>
        </w:rPr>
        <w:t>1</w:t>
      </w:r>
      <w:r w:rsidRPr="00FB5D9D">
        <w:rPr>
          <w:lang w:val="en-GB"/>
        </w:rPr>
        <w:t>-O</w:t>
      </w:r>
      <w:r w:rsidRPr="00FB5D9D">
        <w:rPr>
          <w:vertAlign w:val="subscript"/>
          <w:lang w:val="en-GB"/>
        </w:rPr>
        <w:t>2</w:t>
      </w:r>
      <w:r w:rsidRPr="00FB5D9D">
        <w:rPr>
          <w:lang w:val="en-GB"/>
        </w:rPr>
        <w:t xml:space="preserve">); the </w:t>
      </w:r>
      <w:r w:rsidRPr="00FB5D9D">
        <w:rPr>
          <w:rFonts w:ascii="Symbol" w:eastAsia="Symbol" w:hAnsi="Symbol" w:cs="Symbol"/>
          <w:vertAlign w:val="superscript"/>
          <w:lang w:val="en-GB"/>
        </w:rPr>
        <w:t></w:t>
      </w:r>
      <w:r w:rsidRPr="00FB5D9D">
        <w:rPr>
          <w:lang w:val="en-GB"/>
        </w:rPr>
        <w:t>55a”,</w:t>
      </w:r>
      <w:r w:rsidRPr="00FB5D9D">
        <w:rPr>
          <w:rFonts w:ascii="Symbol" w:eastAsia="Symbol" w:hAnsi="Symbol" w:cs="Symbol"/>
          <w:vertAlign w:val="superscript"/>
          <w:lang w:val="en-GB"/>
        </w:rPr>
        <w:t></w:t>
      </w:r>
      <w:r w:rsidRPr="00FB5D9D">
        <w:rPr>
          <w:rFonts w:ascii="Symbol" w:eastAsia="Symbol" w:hAnsi="Symbol" w:cs="Symbol"/>
          <w:vertAlign w:val="superscript"/>
          <w:lang w:val="en-GB"/>
        </w:rPr>
        <w:t></w:t>
      </w:r>
      <w:r w:rsidRPr="00FB5D9D">
        <w:rPr>
          <w:lang w:val="en-GB"/>
        </w:rPr>
        <w:t xml:space="preserve">83a’, </w:t>
      </w:r>
      <w:r w:rsidRPr="00FB5D9D">
        <w:rPr>
          <w:rFonts w:ascii="Symbol" w:eastAsia="Symbol" w:hAnsi="Symbol" w:cs="Symbol"/>
          <w:vertAlign w:val="superscript"/>
          <w:lang w:val="en-GB"/>
        </w:rPr>
        <w:t></w:t>
      </w:r>
      <w:r w:rsidRPr="00FB5D9D">
        <w:rPr>
          <w:lang w:val="en-GB"/>
        </w:rPr>
        <w:t>85a’,</w:t>
      </w:r>
      <w:r w:rsidRPr="00FB5D9D">
        <w:rPr>
          <w:rFonts w:ascii="Symbol" w:eastAsia="Symbol" w:hAnsi="Symbol" w:cs="Symbol"/>
          <w:vertAlign w:val="superscript"/>
          <w:lang w:val="en-GB"/>
        </w:rPr>
        <w:t></w:t>
      </w:r>
      <w:r w:rsidRPr="00FB5D9D">
        <w:rPr>
          <w:lang w:val="en-GB"/>
        </w:rPr>
        <w:t>57a“ in Au–CoTPP–(</w:t>
      </w:r>
      <w:r w:rsidRPr="00FB5D9D">
        <w:rPr>
          <w:rFonts w:ascii="Symbol" w:eastAsia="Symbol" w:hAnsi="Symbol" w:cs="Symbol"/>
          <w:lang w:val="en-GB"/>
        </w:rPr>
        <w:t></w:t>
      </w:r>
      <w:r w:rsidRPr="00FB5D9D">
        <w:rPr>
          <w:vertAlign w:val="superscript"/>
          <w:lang w:val="en-GB"/>
        </w:rPr>
        <w:t>1</w:t>
      </w:r>
      <w:r w:rsidRPr="00FB5D9D">
        <w:rPr>
          <w:lang w:val="en-GB"/>
        </w:rPr>
        <w:t>-O</w:t>
      </w:r>
      <w:r w:rsidRPr="00FB5D9D">
        <w:rPr>
          <w:vertAlign w:val="subscript"/>
          <w:lang w:val="en-GB"/>
        </w:rPr>
        <w:t>2</w:t>
      </w:r>
      <w:r w:rsidRPr="00FB5D9D">
        <w:rPr>
          <w:lang w:val="en-GB"/>
        </w:rPr>
        <w:t>)), thus indicating the superoxide nature of the coordinated O</w:t>
      </w:r>
      <w:r w:rsidRPr="00FB5D9D">
        <w:rPr>
          <w:vertAlign w:val="subscript"/>
          <w:lang w:val="en-GB"/>
        </w:rPr>
        <w:t>2</w:t>
      </w:r>
      <w:r w:rsidRPr="00FB5D9D">
        <w:rPr>
          <w:lang w:val="en-GB"/>
        </w:rPr>
        <w:t xml:space="preserve">; iii) the occupied character of only six (the </w:t>
      </w:r>
      <w:r w:rsidRPr="00FB5D9D">
        <w:rPr>
          <w:rFonts w:ascii="Symbol" w:eastAsia="Symbol" w:hAnsi="Symbol" w:cs="Symbol"/>
          <w:vertAlign w:val="superscript"/>
          <w:lang w:val="en-GB"/>
        </w:rPr>
        <w:t></w:t>
      </w:r>
      <w:r w:rsidRPr="00FB5D9D">
        <w:rPr>
          <w:lang w:val="en-GB"/>
        </w:rPr>
        <w:t xml:space="preserve">53a“, </w:t>
      </w:r>
      <w:r w:rsidRPr="00FB5D9D">
        <w:rPr>
          <w:rFonts w:ascii="Symbol" w:eastAsia="Symbol" w:hAnsi="Symbol" w:cs="Symbol"/>
          <w:vertAlign w:val="superscript"/>
          <w:lang w:val="en-GB"/>
        </w:rPr>
        <w:t></w:t>
      </w:r>
      <w:r w:rsidRPr="00FB5D9D">
        <w:rPr>
          <w:lang w:val="en-GB"/>
        </w:rPr>
        <w:t xml:space="preserve">54 a“, </w:t>
      </w:r>
      <w:r w:rsidRPr="00FB5D9D">
        <w:rPr>
          <w:rFonts w:ascii="Symbol" w:eastAsia="Symbol" w:hAnsi="Symbol" w:cs="Symbol"/>
          <w:vertAlign w:val="superscript"/>
          <w:lang w:val="en-GB"/>
        </w:rPr>
        <w:t></w:t>
      </w:r>
      <w:r w:rsidRPr="00FB5D9D">
        <w:rPr>
          <w:lang w:val="en-GB"/>
        </w:rPr>
        <w:t>77a</w:t>
      </w:r>
      <w:r w:rsidRPr="00FB5D9D">
        <w:rPr>
          <w:rFonts w:ascii="Symbol" w:eastAsia="Symbol" w:hAnsi="Symbol" w:cs="Symbol"/>
          <w:lang w:val="en-GB"/>
        </w:rPr>
        <w:t></w:t>
      </w:r>
      <w:r w:rsidRPr="00FB5D9D">
        <w:rPr>
          <w:lang w:val="en-GB"/>
        </w:rPr>
        <w:t xml:space="preserve">, </w:t>
      </w:r>
      <w:r w:rsidRPr="00FB5D9D">
        <w:rPr>
          <w:rFonts w:ascii="Symbol" w:eastAsia="Symbol" w:hAnsi="Symbol" w:cs="Symbol"/>
          <w:vertAlign w:val="superscript"/>
          <w:lang w:val="en-GB"/>
        </w:rPr>
        <w:t></w:t>
      </w:r>
      <w:r w:rsidRPr="00FB5D9D">
        <w:rPr>
          <w:lang w:val="en-GB"/>
        </w:rPr>
        <w:t>78a</w:t>
      </w:r>
      <w:r w:rsidRPr="00FB5D9D">
        <w:rPr>
          <w:rFonts w:ascii="Symbol" w:eastAsia="Symbol" w:hAnsi="Symbol" w:cs="Symbol"/>
          <w:lang w:val="en-GB"/>
        </w:rPr>
        <w:t></w:t>
      </w:r>
      <w:r w:rsidRPr="00FB5D9D">
        <w:rPr>
          <w:lang w:val="en-GB"/>
        </w:rPr>
        <w:t xml:space="preserve">, </w:t>
      </w:r>
      <w:r w:rsidRPr="00FB5D9D">
        <w:rPr>
          <w:rFonts w:ascii="Symbol" w:eastAsia="Symbol" w:hAnsi="Symbol" w:cs="Symbol"/>
          <w:vertAlign w:val="superscript"/>
          <w:lang w:val="en-GB"/>
        </w:rPr>
        <w:t></w:t>
      </w:r>
      <w:r w:rsidRPr="00FB5D9D">
        <w:rPr>
          <w:rFonts w:ascii="Symbol" w:eastAsia="Symbol" w:hAnsi="Symbol" w:cs="Symbol"/>
          <w:vertAlign w:val="superscript"/>
          <w:lang w:val="en-GB"/>
        </w:rPr>
        <w:t></w:t>
      </w:r>
      <w:r w:rsidRPr="00FB5D9D">
        <w:rPr>
          <w:rFonts w:ascii="Symbol" w:eastAsia="Symbol" w:hAnsi="Symbol" w:cs="Symbol"/>
          <w:vertAlign w:val="superscript"/>
          <w:lang w:val="en-GB"/>
        </w:rPr>
        <w:t></w:t>
      </w:r>
      <w:r w:rsidRPr="00FB5D9D">
        <w:rPr>
          <w:lang w:val="en-GB"/>
        </w:rPr>
        <w:t>82a</w:t>
      </w:r>
      <w:r w:rsidRPr="00FB5D9D">
        <w:rPr>
          <w:rFonts w:ascii="Symbol" w:eastAsia="Symbol" w:hAnsi="Symbol" w:cs="Symbol"/>
          <w:lang w:val="en-GB"/>
        </w:rPr>
        <w:t></w:t>
      </w:r>
      <w:r w:rsidRPr="00FB5D9D">
        <w:rPr>
          <w:lang w:val="en-GB"/>
        </w:rPr>
        <w:t xml:space="preserve"> levels in Cu–CoTPP–(</w:t>
      </w:r>
      <w:r w:rsidRPr="00FB5D9D">
        <w:rPr>
          <w:rFonts w:ascii="Symbol" w:eastAsia="Symbol" w:hAnsi="Symbol" w:cs="Symbol"/>
          <w:lang w:val="en-GB"/>
        </w:rPr>
        <w:t></w:t>
      </w:r>
      <w:r w:rsidRPr="00FB5D9D">
        <w:rPr>
          <w:vertAlign w:val="superscript"/>
          <w:lang w:val="en-GB"/>
        </w:rPr>
        <w:t>1</w:t>
      </w:r>
      <w:r w:rsidRPr="00FB5D9D">
        <w:rPr>
          <w:lang w:val="en-GB"/>
        </w:rPr>
        <w:t>-O</w:t>
      </w:r>
      <w:r w:rsidRPr="00FB5D9D">
        <w:rPr>
          <w:vertAlign w:val="subscript"/>
          <w:lang w:val="en-GB"/>
        </w:rPr>
        <w:t>2</w:t>
      </w:r>
      <w:r w:rsidRPr="00FB5D9D">
        <w:rPr>
          <w:lang w:val="en-GB"/>
        </w:rPr>
        <w:t xml:space="preserve">), the </w:t>
      </w:r>
      <w:r w:rsidRPr="00FB5D9D">
        <w:rPr>
          <w:rFonts w:ascii="Symbol" w:eastAsia="Symbol" w:hAnsi="Symbol" w:cs="Symbol"/>
          <w:color w:val="auto"/>
          <w:vertAlign w:val="superscript"/>
          <w:lang w:val="en-GB"/>
        </w:rPr>
        <w:t></w:t>
      </w:r>
      <w:r w:rsidRPr="00FB5D9D">
        <w:rPr>
          <w:color w:val="auto"/>
          <w:lang w:val="en-GB"/>
        </w:rPr>
        <w:t xml:space="preserve">53a“, </w:t>
      </w:r>
      <w:r w:rsidRPr="00FB5D9D">
        <w:rPr>
          <w:rFonts w:ascii="Symbol" w:eastAsia="Symbol" w:hAnsi="Symbol" w:cs="Symbol"/>
          <w:color w:val="auto"/>
          <w:vertAlign w:val="superscript"/>
          <w:lang w:val="en-GB"/>
        </w:rPr>
        <w:t></w:t>
      </w:r>
      <w:r w:rsidRPr="00FB5D9D">
        <w:rPr>
          <w:color w:val="auto"/>
          <w:lang w:val="en-GB"/>
        </w:rPr>
        <w:t xml:space="preserve">54 a“, </w:t>
      </w:r>
      <w:r w:rsidRPr="00FB5D9D">
        <w:rPr>
          <w:rFonts w:ascii="Symbol" w:eastAsia="Symbol" w:hAnsi="Symbol" w:cs="Symbol"/>
          <w:color w:val="auto"/>
          <w:vertAlign w:val="superscript"/>
          <w:lang w:val="en-GB"/>
        </w:rPr>
        <w:t></w:t>
      </w:r>
      <w:r w:rsidRPr="00FB5D9D">
        <w:rPr>
          <w:color w:val="auto"/>
          <w:lang w:val="en-GB"/>
        </w:rPr>
        <w:t>79a</w:t>
      </w:r>
      <w:r w:rsidRPr="00FB5D9D">
        <w:rPr>
          <w:rFonts w:ascii="Symbol" w:eastAsia="Symbol" w:hAnsi="Symbol" w:cs="Symbol"/>
          <w:color w:val="auto"/>
          <w:lang w:val="en-GB"/>
        </w:rPr>
        <w:t></w:t>
      </w:r>
      <w:r w:rsidRPr="00FB5D9D">
        <w:rPr>
          <w:color w:val="auto"/>
          <w:lang w:val="en-GB"/>
        </w:rPr>
        <w:t xml:space="preserve">, </w:t>
      </w:r>
      <w:r w:rsidRPr="00FB5D9D">
        <w:rPr>
          <w:rFonts w:ascii="Symbol" w:eastAsia="Symbol" w:hAnsi="Symbol" w:cs="Symbol"/>
          <w:color w:val="auto"/>
          <w:vertAlign w:val="superscript"/>
          <w:lang w:val="en-GB"/>
        </w:rPr>
        <w:t></w:t>
      </w:r>
      <w:r w:rsidRPr="00FB5D9D">
        <w:rPr>
          <w:color w:val="auto"/>
          <w:lang w:val="en-GB"/>
        </w:rPr>
        <w:t>80a</w:t>
      </w:r>
      <w:r w:rsidRPr="00FB5D9D">
        <w:rPr>
          <w:rFonts w:ascii="Symbol" w:eastAsia="Symbol" w:hAnsi="Symbol" w:cs="Symbol"/>
          <w:color w:val="auto"/>
          <w:lang w:val="en-GB"/>
        </w:rPr>
        <w:t></w:t>
      </w:r>
      <w:r w:rsidRPr="00FB5D9D">
        <w:rPr>
          <w:color w:val="auto"/>
          <w:lang w:val="en-GB"/>
        </w:rPr>
        <w:t xml:space="preserve">, </w:t>
      </w:r>
      <w:r w:rsidRPr="00FB5D9D">
        <w:rPr>
          <w:rFonts w:ascii="Symbol" w:eastAsia="Symbol" w:hAnsi="Symbol" w:cs="Symbol"/>
          <w:color w:val="auto"/>
          <w:vertAlign w:val="superscript"/>
          <w:lang w:val="en-GB"/>
        </w:rPr>
        <w:t></w:t>
      </w:r>
      <w:r w:rsidRPr="00FB5D9D">
        <w:rPr>
          <w:rFonts w:ascii="Symbol" w:eastAsia="Symbol" w:hAnsi="Symbol" w:cs="Symbol"/>
          <w:color w:val="auto"/>
          <w:vertAlign w:val="superscript"/>
          <w:lang w:val="en-GB"/>
        </w:rPr>
        <w:t></w:t>
      </w:r>
      <w:r w:rsidRPr="00FB5D9D">
        <w:rPr>
          <w:rFonts w:ascii="Symbol" w:eastAsia="Symbol" w:hAnsi="Symbol" w:cs="Symbol"/>
          <w:color w:val="auto"/>
          <w:vertAlign w:val="superscript"/>
          <w:lang w:val="en-GB"/>
        </w:rPr>
        <w:t></w:t>
      </w:r>
      <w:r w:rsidRPr="00FB5D9D">
        <w:rPr>
          <w:color w:val="auto"/>
          <w:lang w:val="en-GB"/>
        </w:rPr>
        <w:t>82a</w:t>
      </w:r>
      <w:r w:rsidRPr="00FB5D9D">
        <w:rPr>
          <w:rFonts w:ascii="Symbol" w:eastAsia="Symbol" w:hAnsi="Symbol" w:cs="Symbol"/>
          <w:color w:val="auto"/>
          <w:lang w:val="en-GB"/>
        </w:rPr>
        <w:t></w:t>
      </w:r>
      <w:r w:rsidRPr="00FB5D9D">
        <w:rPr>
          <w:lang w:val="en-GB"/>
        </w:rPr>
        <w:t xml:space="preserve"> levels in Ag–CoTPP–(</w:t>
      </w:r>
      <w:r w:rsidRPr="00FB5D9D">
        <w:rPr>
          <w:rFonts w:ascii="Symbol" w:eastAsia="Symbol" w:hAnsi="Symbol" w:cs="Symbol"/>
          <w:lang w:val="en-GB"/>
        </w:rPr>
        <w:t></w:t>
      </w:r>
      <w:r w:rsidRPr="00FB5D9D">
        <w:rPr>
          <w:vertAlign w:val="superscript"/>
          <w:lang w:val="en-GB"/>
        </w:rPr>
        <w:t>1</w:t>
      </w:r>
      <w:r w:rsidRPr="00FB5D9D">
        <w:rPr>
          <w:lang w:val="en-GB"/>
        </w:rPr>
        <w:t>-O</w:t>
      </w:r>
      <w:r w:rsidRPr="00FB5D9D">
        <w:rPr>
          <w:vertAlign w:val="subscript"/>
          <w:lang w:val="en-GB"/>
        </w:rPr>
        <w:t>2</w:t>
      </w:r>
      <w:r w:rsidRPr="00FB5D9D">
        <w:rPr>
          <w:lang w:val="en-GB"/>
        </w:rPr>
        <w:t xml:space="preserve">), the </w:t>
      </w:r>
      <w:r w:rsidRPr="00FB5D9D">
        <w:rPr>
          <w:rFonts w:ascii="Symbol" w:eastAsia="Symbol" w:hAnsi="Symbol" w:cs="Symbol"/>
          <w:color w:val="auto"/>
          <w:vertAlign w:val="superscript"/>
          <w:lang w:val="en-GB"/>
        </w:rPr>
        <w:t></w:t>
      </w:r>
      <w:r w:rsidRPr="00FB5D9D">
        <w:rPr>
          <w:color w:val="auto"/>
          <w:lang w:val="en-GB"/>
        </w:rPr>
        <w:t xml:space="preserve">56a”, </w:t>
      </w:r>
      <w:r w:rsidRPr="00FB5D9D">
        <w:rPr>
          <w:rFonts w:ascii="Symbol" w:eastAsia="Symbol" w:hAnsi="Symbol" w:cs="Symbol"/>
          <w:color w:val="auto"/>
          <w:vertAlign w:val="superscript"/>
          <w:lang w:val="en-GB"/>
        </w:rPr>
        <w:t></w:t>
      </w:r>
      <w:r w:rsidRPr="00FB5D9D">
        <w:rPr>
          <w:color w:val="auto"/>
          <w:lang w:val="en-GB"/>
        </w:rPr>
        <w:t>57a”</w:t>
      </w:r>
      <w:r w:rsidRPr="00FB5D9D">
        <w:rPr>
          <w:rFonts w:ascii="Symbol" w:eastAsia="Symbol" w:hAnsi="Symbol" w:cs="Symbol"/>
          <w:color w:val="auto"/>
          <w:lang w:val="en-GB"/>
        </w:rPr>
        <w:t></w:t>
      </w:r>
      <w:r w:rsidRPr="00FB5D9D">
        <w:rPr>
          <w:rFonts w:ascii="Symbol" w:eastAsia="Symbol" w:hAnsi="Symbol" w:cs="Symbol"/>
          <w:color w:val="auto"/>
          <w:lang w:val="en-GB"/>
        </w:rPr>
        <w:t></w:t>
      </w:r>
      <w:r w:rsidRPr="00FB5D9D">
        <w:rPr>
          <w:rFonts w:ascii="Symbol" w:eastAsia="Symbol" w:hAnsi="Symbol" w:cs="Symbol"/>
          <w:color w:val="auto"/>
          <w:vertAlign w:val="superscript"/>
          <w:lang w:val="en-GB"/>
        </w:rPr>
        <w:t></w:t>
      </w:r>
      <w:r w:rsidRPr="00FB5D9D">
        <w:rPr>
          <w:color w:val="auto"/>
          <w:lang w:val="en-GB"/>
        </w:rPr>
        <w:t xml:space="preserve">83a’, </w:t>
      </w:r>
      <w:r w:rsidRPr="00FB5D9D">
        <w:rPr>
          <w:rFonts w:ascii="Symbol" w:eastAsia="Symbol" w:hAnsi="Symbol" w:cs="Symbol"/>
          <w:color w:val="auto"/>
          <w:vertAlign w:val="superscript"/>
          <w:lang w:val="en-GB"/>
        </w:rPr>
        <w:t></w:t>
      </w:r>
      <w:r w:rsidRPr="00FB5D9D">
        <w:rPr>
          <w:color w:val="auto"/>
          <w:lang w:val="en-GB"/>
        </w:rPr>
        <w:t>84a</w:t>
      </w:r>
      <w:r w:rsidRPr="00FB5D9D">
        <w:rPr>
          <w:rFonts w:ascii="Symbol" w:eastAsia="Symbol" w:hAnsi="Symbol" w:cs="Symbol"/>
          <w:color w:val="auto"/>
          <w:lang w:val="en-GB"/>
        </w:rPr>
        <w:t></w:t>
      </w:r>
      <w:r w:rsidRPr="00FB5D9D">
        <w:rPr>
          <w:rFonts w:ascii="Symbol" w:eastAsia="Symbol" w:hAnsi="Symbol" w:cs="Symbol"/>
          <w:color w:val="auto"/>
          <w:lang w:val="en-GB"/>
        </w:rPr>
        <w:t></w:t>
      </w:r>
      <w:r w:rsidRPr="00FB5D9D">
        <w:rPr>
          <w:rFonts w:ascii="Symbol" w:eastAsia="Symbol" w:hAnsi="Symbol" w:cs="Symbol"/>
          <w:color w:val="auto"/>
          <w:lang w:val="en-GB"/>
        </w:rPr>
        <w:t></w:t>
      </w:r>
      <w:r w:rsidRPr="00FB5D9D">
        <w:rPr>
          <w:rFonts w:ascii="Symbol" w:eastAsia="Symbol" w:hAnsi="Symbol" w:cs="Symbol"/>
          <w:color w:val="auto"/>
          <w:vertAlign w:val="superscript"/>
          <w:lang w:val="en-GB"/>
        </w:rPr>
        <w:t></w:t>
      </w:r>
      <w:r w:rsidRPr="00FB5D9D">
        <w:rPr>
          <w:rFonts w:ascii="Symbol" w:eastAsia="Symbol" w:hAnsi="Symbol" w:cs="Symbol"/>
          <w:color w:val="auto"/>
          <w:vertAlign w:val="superscript"/>
          <w:lang w:val="en-GB"/>
        </w:rPr>
        <w:t></w:t>
      </w:r>
      <w:r w:rsidRPr="00FB5D9D">
        <w:rPr>
          <w:rFonts w:ascii="Symbol" w:eastAsia="Symbol" w:hAnsi="Symbol" w:cs="Symbol"/>
          <w:color w:val="auto"/>
          <w:vertAlign w:val="superscript"/>
          <w:lang w:val="en-GB"/>
        </w:rPr>
        <w:t></w:t>
      </w:r>
      <w:r w:rsidRPr="00FB5D9D">
        <w:rPr>
          <w:color w:val="auto"/>
          <w:lang w:val="en-GB"/>
        </w:rPr>
        <w:t>86a</w:t>
      </w:r>
      <w:r w:rsidRPr="00FB5D9D">
        <w:rPr>
          <w:rFonts w:ascii="Symbol" w:eastAsia="Symbol" w:hAnsi="Symbol" w:cs="Symbol"/>
          <w:color w:val="auto"/>
          <w:lang w:val="en-GB"/>
        </w:rPr>
        <w:t></w:t>
      </w:r>
      <w:r w:rsidRPr="00FB5D9D">
        <w:rPr>
          <w:lang w:val="en-GB"/>
        </w:rPr>
        <w:t xml:space="preserve"> levels in Au–CoTPP–(</w:t>
      </w:r>
      <w:r w:rsidRPr="00FB5D9D">
        <w:rPr>
          <w:rFonts w:ascii="Symbol" w:eastAsia="Symbol" w:hAnsi="Symbol" w:cs="Symbol"/>
          <w:lang w:val="en-GB"/>
        </w:rPr>
        <w:t></w:t>
      </w:r>
      <w:r w:rsidRPr="00FB5D9D">
        <w:rPr>
          <w:vertAlign w:val="superscript"/>
          <w:lang w:val="en-GB"/>
        </w:rPr>
        <w:t>1</w:t>
      </w:r>
      <w:r w:rsidRPr="00FB5D9D">
        <w:rPr>
          <w:lang w:val="en-GB"/>
        </w:rPr>
        <w:t>-O</w:t>
      </w:r>
      <w:r w:rsidRPr="00FB5D9D">
        <w:rPr>
          <w:vertAlign w:val="subscript"/>
          <w:lang w:val="en-GB"/>
        </w:rPr>
        <w:t>2</w:t>
      </w:r>
      <w:r w:rsidRPr="00FB5D9D">
        <w:rPr>
          <w:lang w:val="en-GB"/>
        </w:rPr>
        <w:t>)) Co 3d-based orbitals, thus awarding a local “closed shell” electronic configuration (3d</w:t>
      </w:r>
      <w:r w:rsidRPr="00FB5D9D">
        <w:rPr>
          <w:vertAlign w:val="superscript"/>
          <w:lang w:val="en-GB"/>
        </w:rPr>
        <w:t>6</w:t>
      </w:r>
      <w:r w:rsidRPr="00FB5D9D">
        <w:rPr>
          <w:lang w:val="en-GB"/>
        </w:rPr>
        <w:t>) to Co, oxidized to Co</w:t>
      </w:r>
      <w:r w:rsidRPr="00FB5D9D">
        <w:rPr>
          <w:vertAlign w:val="superscript"/>
          <w:lang w:val="en-GB"/>
        </w:rPr>
        <w:t>III</w:t>
      </w:r>
      <w:r w:rsidRPr="00FB5D9D">
        <w:rPr>
          <w:lang w:val="en-GB"/>
        </w:rPr>
        <w:t>. through the O</w:t>
      </w:r>
      <w:r w:rsidRPr="00FB5D9D">
        <w:rPr>
          <w:vertAlign w:val="subscript"/>
          <w:lang w:val="en-GB"/>
        </w:rPr>
        <w:t>2</w:t>
      </w:r>
      <w:r w:rsidRPr="00FB5D9D">
        <w:rPr>
          <w:lang w:val="en-GB"/>
        </w:rPr>
        <w:t xml:space="preserve"> </w:t>
      </w:r>
      <w:r w:rsidRPr="00FB5D9D">
        <w:rPr>
          <w:lang w:val="en-GB"/>
        </w:rPr>
        <w:sym w:font="Symbol" w:char="F0AE"/>
      </w:r>
      <w:r w:rsidRPr="00FB5D9D">
        <w:rPr>
          <w:lang w:val="en-GB"/>
        </w:rPr>
        <w:t xml:space="preserve"> O</w:t>
      </w:r>
      <w:r w:rsidRPr="00FB5D9D">
        <w:rPr>
          <w:vertAlign w:val="subscript"/>
          <w:lang w:val="en-GB"/>
        </w:rPr>
        <w:t>2</w:t>
      </w:r>
      <w:r w:rsidRPr="00FB5D9D">
        <w:rPr>
          <w:vertAlign w:val="superscript"/>
          <w:lang w:val="en-GB"/>
        </w:rPr>
        <w:t>-</w:t>
      </w:r>
      <w:r w:rsidRPr="00FB5D9D">
        <w:rPr>
          <w:lang w:val="en-GB"/>
        </w:rPr>
        <w:t xml:space="preserve"> reduction. </w:t>
      </w:r>
    </w:p>
    <w:p w:rsidR="00FB5D9D" w:rsidRPr="00FB5D9D" w:rsidRDefault="00FB5D9D" w:rsidP="00FB5D9D">
      <w:pPr>
        <w:pStyle w:val="MDPI31text"/>
        <w:rPr>
          <w:vertAlign w:val="subscript"/>
          <w:lang w:val="en-GB"/>
        </w:rPr>
      </w:pPr>
      <w:r w:rsidRPr="00FB5D9D">
        <w:rPr>
          <w:lang w:val="en-GB"/>
        </w:rPr>
        <w:t>Despite the O</w:t>
      </w:r>
      <w:r w:rsidRPr="00FB5D9D">
        <w:rPr>
          <w:vertAlign w:val="subscript"/>
          <w:lang w:val="en-GB"/>
        </w:rPr>
        <w:t>2</w:t>
      </w:r>
      <w:r w:rsidRPr="00FB5D9D">
        <w:rPr>
          <w:lang w:val="en-GB"/>
        </w:rPr>
        <w:t xml:space="preserve"> coordination to CoTPP adsorbed on coinage metals should be accompanied by a magnetization “switch on” effect, it is noteworthy that unpaired electrons are localized on L rather than on Co (see Figure S3 of the SM).  </w:t>
      </w:r>
    </w:p>
    <w:p w:rsidR="00FB5D9D" w:rsidRPr="00FB5D9D" w:rsidRDefault="00FB5D9D" w:rsidP="00FB5D9D">
      <w:pPr>
        <w:pStyle w:val="MDPI21heading1"/>
        <w:rPr>
          <w:lang w:val="en-GB"/>
        </w:rPr>
      </w:pPr>
      <w:r w:rsidRPr="00FB5D9D">
        <w:rPr>
          <w:lang w:val="en-GB"/>
        </w:rPr>
        <w:t>4. Conclusions</w:t>
      </w:r>
    </w:p>
    <w:p w:rsidR="00FB5D9D" w:rsidRPr="00FB5D9D" w:rsidRDefault="00FB5D9D" w:rsidP="00FB5D9D">
      <w:pPr>
        <w:pStyle w:val="MDPI31text"/>
      </w:pPr>
      <w:r w:rsidRPr="00FB5D9D">
        <w:lastRenderedPageBreak/>
        <w:t xml:space="preserve">A series of </w:t>
      </w:r>
      <w:r w:rsidRPr="00FB5D9D">
        <w:rPr>
          <w:rFonts w:ascii="Times New Roman" w:hAnsi="Times New Roman"/>
          <w:lang/>
        </w:rPr>
        <w:t>shared</w:t>
      </w:r>
      <w:r w:rsidRPr="00FB5D9D">
        <w:t xml:space="preserve"> features </w:t>
      </w:r>
      <w:r w:rsidRPr="00FB5D9D">
        <w:rPr>
          <w:rFonts w:ascii="Times New Roman" w:hAnsi="Times New Roman"/>
          <w:lang/>
        </w:rPr>
        <w:t>binds</w:t>
      </w:r>
      <w:r w:rsidRPr="00FB5D9D">
        <w:t xml:space="preserve"> the coordination of </w:t>
      </w:r>
      <w:r w:rsidRPr="00FB5D9D">
        <w:rPr>
          <w:i/>
          <w:vertAlign w:val="superscript"/>
        </w:rPr>
        <w:t>k</w:t>
      </w:r>
      <w:r w:rsidRPr="00FB5D9D">
        <w:t xml:space="preserve">L to CoTPP surface supported on coinage metal surfaces: i) both </w:t>
      </w:r>
      <w:r w:rsidRPr="00FB5D9D">
        <w:rPr>
          <w:rFonts w:ascii="Times New Roman" w:hAnsi="Times New Roman"/>
          <w:i/>
          <w:szCs w:val="20"/>
        </w:rPr>
        <w:t>BE</w:t>
      </w:r>
      <w:r w:rsidRPr="00FB5D9D">
        <w:rPr>
          <w:rFonts w:ascii="Times New Roman" w:hAnsi="Times New Roman"/>
          <w:szCs w:val="20"/>
          <w:vertAlign w:val="subscript"/>
        </w:rPr>
        <w:t>MS–Co</w:t>
      </w:r>
      <w:r w:rsidRPr="00FB5D9D">
        <w:t xml:space="preserve"> and </w:t>
      </w:r>
      <w:r w:rsidRPr="00FB5D9D">
        <w:rPr>
          <w:rFonts w:ascii="Times New Roman" w:hAnsi="Times New Roman"/>
          <w:i/>
          <w:szCs w:val="20"/>
        </w:rPr>
        <w:t>BE</w:t>
      </w:r>
      <w:r w:rsidRPr="00FB5D9D">
        <w:rPr>
          <w:rFonts w:ascii="Times New Roman" w:hAnsi="Times New Roman"/>
          <w:szCs w:val="20"/>
          <w:vertAlign w:val="subscript"/>
        </w:rPr>
        <w:t>Co–C/N/O</w:t>
      </w:r>
      <w:r w:rsidRPr="00FB5D9D">
        <w:t xml:space="preserve"> (BL</w:t>
      </w:r>
      <w:r w:rsidRPr="00FB5D9D">
        <w:rPr>
          <w:vertAlign w:val="subscript"/>
        </w:rPr>
        <w:t>MS–Co</w:t>
      </w:r>
      <w:r w:rsidRPr="00FB5D9D">
        <w:t xml:space="preserve"> and BL</w:t>
      </w:r>
      <w:r w:rsidRPr="00FB5D9D">
        <w:rPr>
          <w:vertAlign w:val="subscript"/>
        </w:rPr>
        <w:t>Co–C/N/O</w:t>
      </w:r>
      <w:r w:rsidRPr="00FB5D9D">
        <w:t xml:space="preserve">) decrease (increase) upon moving from MS–CoTPP and CoTPP–L to MS–CoTPP–L; ii) the MS oxidation state in the MS–CoTPP–L cluster is systematically found equal to 0; iii) the local electronic structure of the CoTPP–L fragment in the MS–CoTPP–L cluster is very similar to that of the CoTPP–L adducts; iv) the different MS–CoTPP–L </w:t>
      </w:r>
      <w:r w:rsidRPr="00FB5D9D">
        <w:rPr>
          <w:rFonts w:ascii="Times New Roman" w:hAnsi="Times New Roman"/>
          <w:i/>
          <w:szCs w:val="20"/>
        </w:rPr>
        <w:t>BE</w:t>
      </w:r>
      <w:r w:rsidRPr="00FB5D9D">
        <w:rPr>
          <w:rFonts w:ascii="Times New Roman" w:hAnsi="Times New Roman"/>
          <w:szCs w:val="20"/>
          <w:vertAlign w:val="subscript"/>
        </w:rPr>
        <w:t>Co–C/N/O</w:t>
      </w:r>
      <w:r w:rsidRPr="00FB5D9D">
        <w:t xml:space="preserve"> values are scarcely affected by MS thus confirming the leading role played by the </w:t>
      </w:r>
      <w:r w:rsidRPr="00FB5D9D">
        <w:rPr>
          <w:i/>
        </w:rPr>
        <w:t>trans</w:t>
      </w:r>
      <w:r w:rsidRPr="00FB5D9D">
        <w:t>-coordinate ligand in the weakening of the direct MS–Co bonding.</w:t>
      </w:r>
    </w:p>
    <w:p w:rsidR="00FB5D9D" w:rsidRPr="00FB5D9D" w:rsidRDefault="00FB5D9D" w:rsidP="00FB5D9D">
      <w:pPr>
        <w:pStyle w:val="MDPI31text"/>
        <w:rPr>
          <w:b/>
          <w:lang w:val="en-GB"/>
        </w:rPr>
      </w:pPr>
      <w:r w:rsidRPr="00FB5D9D">
        <w:rPr>
          <w:b/>
          <w:lang w:val="en-GB"/>
        </w:rPr>
        <w:t xml:space="preserve"> </w:t>
      </w:r>
    </w:p>
    <w:p w:rsidR="00FB5D9D" w:rsidRPr="00FB5D9D" w:rsidRDefault="00FB5D9D" w:rsidP="00FB5D9D">
      <w:pPr>
        <w:pStyle w:val="MDPI31text"/>
        <w:rPr>
          <w:b/>
          <w:lang w:val="en-GB"/>
        </w:rPr>
      </w:pPr>
    </w:p>
    <w:p w:rsidR="00FB5D9D" w:rsidRPr="00FB5D9D" w:rsidRDefault="00FB5D9D" w:rsidP="00FB5D9D">
      <w:pPr>
        <w:pStyle w:val="MDPI62BackMatter"/>
        <w:rPr>
          <w:szCs w:val="18"/>
          <w:lang w:val="en-GB" w:eastAsia="de-DE"/>
        </w:rPr>
      </w:pPr>
      <w:r w:rsidRPr="00FB5D9D">
        <w:rPr>
          <w:b/>
          <w:lang w:val="en-GB"/>
        </w:rPr>
        <w:t xml:space="preserve">Supplementary Materials: </w:t>
      </w:r>
      <w:r w:rsidRPr="00FB5D9D">
        <w:rPr>
          <w:rFonts w:ascii="Times New Roman" w:hAnsi="Times New Roman"/>
          <w:szCs w:val="18"/>
          <w:lang w:val="en-GB"/>
        </w:rPr>
        <w:t xml:space="preserve">. </w:t>
      </w:r>
    </w:p>
    <w:p w:rsidR="00FB5D9D" w:rsidRPr="00FB5D9D" w:rsidRDefault="00FB5D9D" w:rsidP="00FB5D9D">
      <w:pPr>
        <w:pStyle w:val="MDPI62BackMatter"/>
        <w:rPr>
          <w:lang w:val="en-GB"/>
        </w:rPr>
      </w:pPr>
      <w:r w:rsidRPr="00FB5D9D">
        <w:rPr>
          <w:b/>
          <w:lang w:val="en-GB"/>
        </w:rPr>
        <w:t>Author Contributions:</w:t>
      </w:r>
      <w:r w:rsidRPr="00FB5D9D">
        <w:rPr>
          <w:lang w:val="en-GB"/>
        </w:rPr>
        <w:t>.</w:t>
      </w:r>
    </w:p>
    <w:p w:rsidR="00FB5D9D" w:rsidRPr="00FB5D9D" w:rsidRDefault="00FB5D9D" w:rsidP="00FB5D9D">
      <w:pPr>
        <w:pStyle w:val="MDPI62BackMatter"/>
        <w:rPr>
          <w:lang w:val="en-GB"/>
        </w:rPr>
      </w:pPr>
      <w:r w:rsidRPr="00FB5D9D">
        <w:rPr>
          <w:b/>
          <w:lang w:val="en-GB"/>
        </w:rPr>
        <w:t>Funding:</w:t>
      </w:r>
      <w:r w:rsidRPr="00FB5D9D">
        <w:rPr>
          <w:lang w:val="en-GB"/>
        </w:rPr>
        <w:t xml:space="preserve"> This research was supported by the University of Padova (Grant P-DISC #CARL-SID17 BIRD2017-UNIPD, Project CHIRoN).</w:t>
      </w:r>
    </w:p>
    <w:p w:rsidR="00FB5D9D" w:rsidRPr="00FB5D9D" w:rsidRDefault="00FB5D9D" w:rsidP="00FB5D9D">
      <w:pPr>
        <w:pStyle w:val="MDPI62BackMatter"/>
        <w:rPr>
          <w:lang w:val="en-GB"/>
        </w:rPr>
      </w:pPr>
      <w:r w:rsidRPr="00FB5D9D">
        <w:rPr>
          <w:b/>
          <w:lang w:val="en-GB"/>
        </w:rPr>
        <w:t xml:space="preserve">Data Availability Statement: </w:t>
      </w:r>
      <w:r w:rsidRPr="00FB5D9D">
        <w:rPr>
          <w:lang w:val="en-GB"/>
        </w:rPr>
        <w:t>All data have been illustrated in the manuscript and in the supplementary materials.</w:t>
      </w:r>
      <w:bookmarkStart w:id="1" w:name="_Hlk60054323"/>
      <w:bookmarkEnd w:id="1"/>
    </w:p>
    <w:p w:rsidR="00FB5D9D" w:rsidRPr="00FB5D9D" w:rsidRDefault="00FB5D9D" w:rsidP="00FB5D9D">
      <w:pPr>
        <w:pStyle w:val="MDPI62BackMatter"/>
        <w:rPr>
          <w:lang w:val="en-GB"/>
        </w:rPr>
      </w:pPr>
      <w:r w:rsidRPr="00FB5D9D">
        <w:rPr>
          <w:b/>
          <w:lang w:val="en-GB"/>
        </w:rPr>
        <w:t>Acknowledgments:</w:t>
      </w:r>
      <w:r w:rsidRPr="00FB5D9D">
        <w:rPr>
          <w:lang w:val="en-GB"/>
        </w:rPr>
        <w:t xml:space="preserve"> The Computational Chemistry Community (C</w:t>
      </w:r>
      <w:r w:rsidRPr="00FB5D9D">
        <w:rPr>
          <w:vertAlign w:val="subscript"/>
          <w:lang w:val="en-GB"/>
        </w:rPr>
        <w:t>3</w:t>
      </w:r>
      <w:r w:rsidRPr="00FB5D9D">
        <w:rPr>
          <w:lang w:val="en-GB"/>
        </w:rPr>
        <w:t>P) of the University of Padova is kindly acknowledged.</w:t>
      </w:r>
    </w:p>
    <w:p w:rsidR="00FB5D9D" w:rsidRPr="00FB5D9D" w:rsidRDefault="00FB5D9D" w:rsidP="00FB5D9D">
      <w:pPr>
        <w:pStyle w:val="MDPI62BackMatter"/>
        <w:rPr>
          <w:lang w:val="en-GB"/>
        </w:rPr>
      </w:pPr>
      <w:r w:rsidRPr="00FB5D9D">
        <w:rPr>
          <w:b/>
          <w:lang w:val="en-GB"/>
        </w:rPr>
        <w:t>Conflicts of Interest:</w:t>
      </w:r>
      <w:r w:rsidRPr="00FB5D9D">
        <w:rPr>
          <w:lang w:val="en-GB"/>
        </w:rPr>
        <w:t xml:space="preserve"> All authors of this manuscript directly participated in the planning, execution, and analysis of this study. The contents of this manuscript have not been copyrighted or published previously and are not currently under consideration for publication elsewhere. The contents of this manuscript will not be copyrighted, submitted, or published elsewhere after acceptance by NANOMATERIALS.</w:t>
      </w:r>
    </w:p>
    <w:p w:rsidR="00FB5D9D" w:rsidRPr="00FB5D9D" w:rsidRDefault="00FB5D9D" w:rsidP="00FB5D9D">
      <w:pPr>
        <w:pStyle w:val="MDPI21heading1"/>
        <w:ind w:left="0"/>
        <w:rPr>
          <w:lang w:val="en-GB"/>
        </w:rPr>
      </w:pPr>
      <w:r w:rsidRPr="00FB5D9D">
        <w:rPr>
          <w:lang w:val="en-GB"/>
        </w:rPr>
        <w:t>References</w:t>
      </w:r>
    </w:p>
    <w:p w:rsidR="00FB5D9D" w:rsidRPr="00FB5D9D" w:rsidRDefault="00FB5D9D" w:rsidP="00FB5D9D">
      <w:pPr>
        <w:pStyle w:val="MDPI71References"/>
        <w:numPr>
          <w:ilvl w:val="0"/>
          <w:numId w:val="9"/>
        </w:numPr>
        <w:ind w:left="425" w:hanging="425"/>
        <w:rPr>
          <w:lang w:val="en-GB"/>
        </w:rPr>
      </w:pPr>
      <w:bookmarkStart w:id="2" w:name="_Ref82071043"/>
      <w:bookmarkEnd w:id="2"/>
      <w:r w:rsidRPr="00FB5D9D">
        <w:rPr>
          <w:lang w:val="en-GB"/>
        </w:rPr>
        <w:t xml:space="preserve">Brand, H.; Arnold, J. Recent developments in the chemistry of early transition metal porphyrin compounds. </w:t>
      </w:r>
      <w:r w:rsidRPr="00FB5D9D">
        <w:rPr>
          <w:i/>
          <w:iCs/>
          <w:lang w:val="en-GB"/>
        </w:rPr>
        <w:t>Coord. Chem. Rev</w:t>
      </w:r>
      <w:r w:rsidRPr="00FB5D9D">
        <w:rPr>
          <w:lang w:val="en-GB"/>
        </w:rPr>
        <w:t xml:space="preserve">. </w:t>
      </w:r>
      <w:r w:rsidRPr="00FB5D9D">
        <w:rPr>
          <w:b/>
          <w:bCs/>
          <w:lang w:val="en-GB"/>
        </w:rPr>
        <w:t>1995</w:t>
      </w:r>
      <w:r w:rsidRPr="00FB5D9D">
        <w:rPr>
          <w:lang w:val="en-GB"/>
        </w:rPr>
        <w:t xml:space="preserve">, </w:t>
      </w:r>
      <w:r w:rsidRPr="00FB5D9D">
        <w:rPr>
          <w:i/>
          <w:iCs/>
          <w:lang w:val="en-GB"/>
        </w:rPr>
        <w:t>140</w:t>
      </w:r>
      <w:r w:rsidRPr="00FB5D9D">
        <w:rPr>
          <w:lang w:val="en-GB"/>
        </w:rPr>
        <w:t>, 137 -168.</w:t>
      </w:r>
    </w:p>
    <w:p w:rsidR="00FB5D9D" w:rsidRPr="00FB5D9D" w:rsidRDefault="00FB5D9D" w:rsidP="00FB5D9D">
      <w:pPr>
        <w:pStyle w:val="MDPI71References"/>
        <w:numPr>
          <w:ilvl w:val="0"/>
          <w:numId w:val="1"/>
        </w:numPr>
        <w:ind w:left="425" w:hanging="425"/>
        <w:rPr>
          <w:lang w:val="en-GB"/>
        </w:rPr>
      </w:pPr>
      <w:r w:rsidRPr="00FB5D9D">
        <w:rPr>
          <w:lang w:val="en-GB"/>
        </w:rPr>
        <w:t xml:space="preserve">Gounden, D.; Nombona, N.; van Zyl, W.E. Recent advances in phthalocyanines for chemical sensor, non-linearoptics (NLO) and energy storage applications. </w:t>
      </w:r>
      <w:r w:rsidRPr="00FB5D9D">
        <w:rPr>
          <w:i/>
          <w:iCs/>
          <w:lang w:val="en-GB"/>
        </w:rPr>
        <w:t>Coord. Chem. Rev</w:t>
      </w:r>
      <w:r w:rsidRPr="00FB5D9D">
        <w:rPr>
          <w:lang w:val="en-GB"/>
        </w:rPr>
        <w:t xml:space="preserve">. </w:t>
      </w:r>
      <w:r w:rsidRPr="00FB5D9D">
        <w:rPr>
          <w:b/>
          <w:bCs/>
          <w:lang w:val="en-GB"/>
        </w:rPr>
        <w:t>2020</w:t>
      </w:r>
      <w:r w:rsidRPr="00FB5D9D">
        <w:rPr>
          <w:lang w:val="en-GB"/>
        </w:rPr>
        <w:t xml:space="preserve">, </w:t>
      </w:r>
      <w:r w:rsidRPr="00FB5D9D">
        <w:rPr>
          <w:i/>
          <w:iCs/>
          <w:lang w:val="en-GB"/>
        </w:rPr>
        <w:t>420</w:t>
      </w:r>
      <w:r w:rsidRPr="00FB5D9D">
        <w:rPr>
          <w:lang w:val="en-GB"/>
        </w:rPr>
        <w:t>, 213359 (1-31).</w:t>
      </w:r>
    </w:p>
    <w:p w:rsidR="00FB5D9D" w:rsidRPr="00FB5D9D" w:rsidRDefault="00FB5D9D" w:rsidP="00FB5D9D">
      <w:pPr>
        <w:pStyle w:val="MDPI71References"/>
        <w:numPr>
          <w:ilvl w:val="0"/>
          <w:numId w:val="1"/>
        </w:numPr>
        <w:ind w:left="425" w:hanging="425"/>
        <w:rPr>
          <w:lang w:val="en-GB"/>
        </w:rPr>
      </w:pPr>
      <w:r w:rsidRPr="00FB5D9D">
        <w:rPr>
          <w:lang w:val="en-GB"/>
        </w:rPr>
        <w:t xml:space="preserve">Rakow, N.A.; Suslick, K.S. A colorimetric sensor array for odour visualization. </w:t>
      </w:r>
      <w:r w:rsidRPr="00FB5D9D">
        <w:rPr>
          <w:i/>
          <w:iCs/>
          <w:lang w:val="en-GB"/>
        </w:rPr>
        <w:t>Nature</w:t>
      </w:r>
      <w:r w:rsidRPr="00FB5D9D">
        <w:rPr>
          <w:lang w:val="en-GB"/>
        </w:rPr>
        <w:t xml:space="preserve"> </w:t>
      </w:r>
      <w:r w:rsidRPr="00FB5D9D">
        <w:rPr>
          <w:b/>
          <w:bCs/>
          <w:lang w:val="en-GB"/>
        </w:rPr>
        <w:t>2000</w:t>
      </w:r>
      <w:r w:rsidRPr="00FB5D9D">
        <w:rPr>
          <w:lang w:val="en-GB"/>
        </w:rPr>
        <w:t xml:space="preserve">, </w:t>
      </w:r>
      <w:r w:rsidRPr="00FB5D9D">
        <w:rPr>
          <w:i/>
          <w:iCs/>
          <w:lang w:val="en-GB"/>
        </w:rPr>
        <w:t>406</w:t>
      </w:r>
      <w:r w:rsidRPr="00FB5D9D">
        <w:rPr>
          <w:lang w:val="en-GB"/>
        </w:rPr>
        <w:t>, 710 – 713.</w:t>
      </w:r>
    </w:p>
    <w:p w:rsidR="00FB5D9D" w:rsidRPr="00FB5D9D" w:rsidRDefault="00FB5D9D" w:rsidP="00FB5D9D">
      <w:pPr>
        <w:pStyle w:val="MDPI71References"/>
        <w:numPr>
          <w:ilvl w:val="0"/>
          <w:numId w:val="1"/>
        </w:numPr>
        <w:ind w:left="425" w:hanging="425"/>
        <w:rPr>
          <w:lang w:val="en-GB"/>
        </w:rPr>
      </w:pPr>
      <w:r w:rsidRPr="00FB5D9D">
        <w:rPr>
          <w:lang w:val="en-GB"/>
        </w:rPr>
        <w:t xml:space="preserve">Beyene, B.B.; Hung, C.H. Recent progress on metalloporphyrin-based hydrogen evolution catalysis. </w:t>
      </w:r>
      <w:r w:rsidRPr="00FB5D9D">
        <w:rPr>
          <w:i/>
          <w:iCs/>
          <w:lang w:val="en-GB"/>
        </w:rPr>
        <w:t>Coord. Chem. Rev</w:t>
      </w:r>
      <w:r w:rsidRPr="00FB5D9D">
        <w:rPr>
          <w:lang w:val="en-GB"/>
        </w:rPr>
        <w:t xml:space="preserve">. </w:t>
      </w:r>
      <w:r w:rsidRPr="00FB5D9D">
        <w:rPr>
          <w:b/>
          <w:bCs/>
          <w:lang w:val="en-GB"/>
        </w:rPr>
        <w:t>2020</w:t>
      </w:r>
      <w:r w:rsidRPr="00FB5D9D">
        <w:rPr>
          <w:lang w:val="en-GB"/>
        </w:rPr>
        <w:t xml:space="preserve">, </w:t>
      </w:r>
      <w:r w:rsidRPr="00FB5D9D">
        <w:rPr>
          <w:i/>
          <w:iCs/>
          <w:lang w:val="en-GB"/>
        </w:rPr>
        <w:t>410</w:t>
      </w:r>
      <w:r w:rsidRPr="00FB5D9D">
        <w:rPr>
          <w:lang w:val="en-GB"/>
        </w:rPr>
        <w:t>, 213234 (1-25).</w:t>
      </w:r>
    </w:p>
    <w:p w:rsidR="00FB5D9D" w:rsidRPr="00FB5D9D" w:rsidRDefault="00FB5D9D" w:rsidP="00FB5D9D">
      <w:pPr>
        <w:pStyle w:val="MDPI71References"/>
        <w:numPr>
          <w:ilvl w:val="0"/>
          <w:numId w:val="1"/>
        </w:numPr>
        <w:ind w:left="425" w:hanging="425"/>
        <w:rPr>
          <w:lang w:val="en-GB"/>
        </w:rPr>
      </w:pPr>
      <w:r w:rsidRPr="00FB5D9D">
        <w:rPr>
          <w:lang w:val="en-GB"/>
        </w:rPr>
        <w:t xml:space="preserve">Singh, R.; Mukherjee, A. Metalloporphyrin Catalyzed C–H Amination. </w:t>
      </w:r>
      <w:r w:rsidRPr="00FB5D9D">
        <w:rPr>
          <w:i/>
          <w:iCs/>
          <w:lang w:val="en-GB"/>
        </w:rPr>
        <w:t>ACS Catal</w:t>
      </w:r>
      <w:r w:rsidRPr="00FB5D9D">
        <w:rPr>
          <w:lang w:val="en-GB"/>
        </w:rPr>
        <w:t xml:space="preserve">. </w:t>
      </w:r>
      <w:r w:rsidRPr="00FB5D9D">
        <w:rPr>
          <w:b/>
          <w:bCs/>
          <w:lang w:val="en-GB"/>
        </w:rPr>
        <w:t>2019</w:t>
      </w:r>
      <w:r w:rsidRPr="00FB5D9D">
        <w:rPr>
          <w:lang w:val="en-GB"/>
        </w:rPr>
        <w:t xml:space="preserve">, </w:t>
      </w:r>
      <w:r w:rsidRPr="00FB5D9D">
        <w:rPr>
          <w:i/>
          <w:iCs/>
          <w:lang w:val="en-GB"/>
        </w:rPr>
        <w:t>9</w:t>
      </w:r>
      <w:r w:rsidRPr="00FB5D9D">
        <w:rPr>
          <w:lang w:val="en-GB"/>
        </w:rPr>
        <w:t>, 3604 —3617.</w:t>
      </w:r>
    </w:p>
    <w:p w:rsidR="00FB5D9D" w:rsidRPr="00FB5D9D" w:rsidRDefault="00FB5D9D" w:rsidP="00FB5D9D">
      <w:pPr>
        <w:pStyle w:val="MDPI71References"/>
        <w:numPr>
          <w:ilvl w:val="0"/>
          <w:numId w:val="1"/>
        </w:numPr>
        <w:ind w:left="425" w:hanging="425"/>
        <w:rPr>
          <w:lang w:val="en-GB"/>
        </w:rPr>
      </w:pPr>
      <w:r w:rsidRPr="00FB5D9D">
        <w:t xml:space="preserve">Sorokin, A.B. Phthalocyanine Metal Complexes in Catalysis. </w:t>
      </w:r>
      <w:r w:rsidRPr="00FB5D9D">
        <w:rPr>
          <w:i/>
          <w:iCs/>
        </w:rPr>
        <w:t>Chem. Rev</w:t>
      </w:r>
      <w:r w:rsidRPr="00FB5D9D">
        <w:t xml:space="preserve">. </w:t>
      </w:r>
      <w:r w:rsidRPr="00FB5D9D">
        <w:rPr>
          <w:b/>
          <w:bCs/>
        </w:rPr>
        <w:t>2013</w:t>
      </w:r>
      <w:r w:rsidRPr="00FB5D9D">
        <w:t xml:space="preserve">, </w:t>
      </w:r>
      <w:r w:rsidRPr="00FB5D9D">
        <w:rPr>
          <w:i/>
          <w:iCs/>
        </w:rPr>
        <w:t>113</w:t>
      </w:r>
      <w:r w:rsidRPr="00FB5D9D">
        <w:t>, 8152−8192.</w:t>
      </w:r>
    </w:p>
    <w:p w:rsidR="00FB5D9D" w:rsidRPr="00FB5D9D" w:rsidRDefault="00FB5D9D" w:rsidP="00FB5D9D">
      <w:pPr>
        <w:pStyle w:val="MDPI71References"/>
        <w:numPr>
          <w:ilvl w:val="0"/>
          <w:numId w:val="1"/>
        </w:numPr>
        <w:ind w:left="425" w:hanging="425"/>
        <w:rPr>
          <w:lang w:val="en-GB"/>
        </w:rPr>
      </w:pPr>
      <w:bookmarkStart w:id="3" w:name="_Ref82071047"/>
      <w:bookmarkEnd w:id="3"/>
      <w:r w:rsidRPr="00FB5D9D">
        <w:rPr>
          <w:lang w:val="en-GB"/>
        </w:rPr>
        <w:t xml:space="preserve">Bartolomé, J.; Monton, C.; Schuller, I.K. Magnetism of Metal Phthalocyanines. </w:t>
      </w:r>
      <w:r w:rsidRPr="00FB5D9D">
        <w:rPr>
          <w:i/>
          <w:iCs/>
          <w:lang w:val="en-GB"/>
        </w:rPr>
        <w:t>NanoScience and Technology</w:t>
      </w:r>
      <w:r w:rsidRPr="00FB5D9D">
        <w:rPr>
          <w:lang w:val="en-GB"/>
        </w:rPr>
        <w:t xml:space="preserve">, in Molecular Magnets </w:t>
      </w:r>
      <w:r w:rsidRPr="00FB5D9D">
        <w:rPr>
          <w:b/>
          <w:bCs/>
          <w:lang w:val="en-GB"/>
        </w:rPr>
        <w:t>2014</w:t>
      </w:r>
      <w:r w:rsidRPr="00FB5D9D">
        <w:rPr>
          <w:lang w:val="en-GB"/>
        </w:rPr>
        <w:t>, 221-245.</w:t>
      </w:r>
    </w:p>
    <w:p w:rsidR="00FB5D9D" w:rsidRPr="00FB5D9D" w:rsidRDefault="00FB5D9D" w:rsidP="00FB5D9D">
      <w:pPr>
        <w:pStyle w:val="MDPI71References"/>
        <w:numPr>
          <w:ilvl w:val="0"/>
          <w:numId w:val="1"/>
        </w:numPr>
        <w:ind w:left="425" w:hanging="425"/>
        <w:rPr>
          <w:lang w:val="en-GB"/>
        </w:rPr>
      </w:pPr>
      <w:bookmarkStart w:id="4" w:name="_Ref82071537"/>
      <w:bookmarkStart w:id="5" w:name="_Ref82071102"/>
      <w:bookmarkEnd w:id="4"/>
      <w:bookmarkEnd w:id="5"/>
      <w:r w:rsidRPr="00FB5D9D">
        <w:rPr>
          <w:lang w:val="en-GB"/>
        </w:rPr>
        <w:t>Aykanat, A., Meng, Z., Benedetto, G.; Mirica, K.A. Molecular Engineering of Multifunctional Metallophthalocyanine- Containing Framework Materials.</w:t>
      </w:r>
      <w:r w:rsidRPr="00FB5D9D">
        <w:t xml:space="preserve"> </w:t>
      </w:r>
      <w:r w:rsidRPr="00FB5D9D">
        <w:rPr>
          <w:i/>
          <w:iCs/>
          <w:lang w:val="en-GB"/>
        </w:rPr>
        <w:t>Chem. Mater</w:t>
      </w:r>
      <w:r w:rsidRPr="00FB5D9D">
        <w:rPr>
          <w:lang w:val="en-GB"/>
        </w:rPr>
        <w:t xml:space="preserve">. </w:t>
      </w:r>
      <w:r w:rsidRPr="00FB5D9D">
        <w:rPr>
          <w:b/>
          <w:bCs/>
          <w:lang w:val="en-GB"/>
        </w:rPr>
        <w:t>2020</w:t>
      </w:r>
      <w:r w:rsidRPr="00FB5D9D">
        <w:rPr>
          <w:lang w:val="en-GB"/>
        </w:rPr>
        <w:t xml:space="preserve">, </w:t>
      </w:r>
      <w:r w:rsidRPr="00FB5D9D">
        <w:rPr>
          <w:i/>
          <w:iCs/>
          <w:lang w:val="en-GB"/>
        </w:rPr>
        <w:t>32</w:t>
      </w:r>
      <w:r w:rsidRPr="00FB5D9D">
        <w:rPr>
          <w:lang w:val="en-GB"/>
        </w:rPr>
        <w:t>, 5372−5409.</w:t>
      </w:r>
    </w:p>
    <w:p w:rsidR="00FB5D9D" w:rsidRPr="00FB5D9D" w:rsidRDefault="00FB5D9D" w:rsidP="00FB5D9D">
      <w:pPr>
        <w:pStyle w:val="MDPI71References"/>
        <w:numPr>
          <w:ilvl w:val="0"/>
          <w:numId w:val="1"/>
        </w:numPr>
        <w:ind w:left="425" w:hanging="425"/>
        <w:rPr>
          <w:lang w:val="en-GB"/>
        </w:rPr>
      </w:pPr>
      <w:r w:rsidRPr="00FB5D9D">
        <w:rPr>
          <w:lang w:val="it-IT"/>
        </w:rPr>
        <w:t xml:space="preserve">Barraud, C.; Seneor, P., Mattana, R.; Fusil, S.; Bouzehouane, K.; Deranlot, C., Graziosi, P., Hueso, L.; Bergenti, I.; Dediu, V.; Petroff, F.; Fert, A. </w:t>
      </w:r>
      <w:r w:rsidRPr="00FB5D9D">
        <w:rPr>
          <w:i/>
          <w:iCs/>
          <w:lang w:val="it-IT"/>
        </w:rPr>
        <w:t xml:space="preserve">Nat. </w:t>
      </w:r>
      <w:r w:rsidRPr="00FB5D9D">
        <w:rPr>
          <w:i/>
          <w:iCs/>
          <w:lang w:val="en-GB"/>
        </w:rPr>
        <w:t>Phys</w:t>
      </w:r>
      <w:r w:rsidRPr="00FB5D9D">
        <w:rPr>
          <w:lang w:val="en-GB"/>
        </w:rPr>
        <w:t xml:space="preserve">. </w:t>
      </w:r>
      <w:r w:rsidRPr="00FB5D9D">
        <w:rPr>
          <w:b/>
          <w:bCs/>
          <w:lang w:val="en-GB"/>
        </w:rPr>
        <w:t>2010</w:t>
      </w:r>
      <w:r w:rsidRPr="00FB5D9D">
        <w:rPr>
          <w:lang w:val="en-GB"/>
        </w:rPr>
        <w:t xml:space="preserve">, </w:t>
      </w:r>
      <w:r w:rsidRPr="00FB5D9D">
        <w:rPr>
          <w:i/>
          <w:iCs/>
          <w:lang w:val="en-GB"/>
        </w:rPr>
        <w:t>6</w:t>
      </w:r>
      <w:r w:rsidRPr="00FB5D9D">
        <w:rPr>
          <w:lang w:val="en-GB"/>
        </w:rPr>
        <w:t>, 615 -620.</w:t>
      </w:r>
    </w:p>
    <w:p w:rsidR="00FB5D9D" w:rsidRPr="00FB5D9D" w:rsidRDefault="00FB5D9D" w:rsidP="00FB5D9D">
      <w:pPr>
        <w:pStyle w:val="MDPI71References"/>
        <w:numPr>
          <w:ilvl w:val="0"/>
          <w:numId w:val="1"/>
        </w:numPr>
        <w:ind w:left="425" w:hanging="425"/>
        <w:rPr>
          <w:lang w:val="en-GB"/>
        </w:rPr>
      </w:pPr>
      <w:r w:rsidRPr="00FB5D9D">
        <w:rPr>
          <w:lang w:val="en-GB"/>
        </w:rPr>
        <w:t xml:space="preserve">Zhou, J.; Sun, Q. Magnetism of Phthalocyanine-Based Organometallic Single Porous Sheet. </w:t>
      </w:r>
      <w:r w:rsidRPr="00FB5D9D">
        <w:rPr>
          <w:i/>
          <w:iCs/>
          <w:lang w:val="en-GB"/>
        </w:rPr>
        <w:t>J. Am. Chem. Soc</w:t>
      </w:r>
      <w:r w:rsidRPr="00FB5D9D">
        <w:rPr>
          <w:lang w:val="en-GB"/>
        </w:rPr>
        <w:t xml:space="preserve">. </w:t>
      </w:r>
      <w:r w:rsidRPr="00FB5D9D">
        <w:rPr>
          <w:b/>
          <w:bCs/>
          <w:lang w:val="en-GB"/>
        </w:rPr>
        <w:t>2011</w:t>
      </w:r>
      <w:r w:rsidRPr="00FB5D9D">
        <w:rPr>
          <w:lang w:val="en-GB"/>
        </w:rPr>
        <w:t xml:space="preserve">, </w:t>
      </w:r>
      <w:r w:rsidRPr="00FB5D9D">
        <w:rPr>
          <w:i/>
          <w:iCs/>
          <w:lang w:val="en-GB"/>
        </w:rPr>
        <w:t>133, 38</w:t>
      </w:r>
      <w:r w:rsidRPr="00FB5D9D">
        <w:rPr>
          <w:lang w:val="en-GB"/>
        </w:rPr>
        <w:t>, 15113–15119.</w:t>
      </w:r>
    </w:p>
    <w:p w:rsidR="00FB5D9D" w:rsidRPr="00FB5D9D" w:rsidRDefault="00FB5D9D" w:rsidP="00FB5D9D">
      <w:pPr>
        <w:pStyle w:val="MDPI71References"/>
        <w:numPr>
          <w:ilvl w:val="0"/>
          <w:numId w:val="1"/>
        </w:numPr>
        <w:ind w:left="425" w:hanging="425"/>
        <w:rPr>
          <w:lang w:val="en-GB"/>
        </w:rPr>
      </w:pPr>
      <w:bookmarkStart w:id="6" w:name="_Ref82071542"/>
      <w:bookmarkStart w:id="7" w:name="_Ref82071568"/>
      <w:bookmarkEnd w:id="6"/>
      <w:r w:rsidRPr="00FB5D9D">
        <w:rPr>
          <w:lang w:val="it-IT"/>
        </w:rPr>
        <w:t xml:space="preserve">Paolesse, R.; Nardis, S.; Monti, D.; Stefanelli, M.; Di Natale, C. Porphyrinoids for Chemical Sensor Applications. </w:t>
      </w:r>
      <w:r w:rsidRPr="00FB5D9D">
        <w:rPr>
          <w:i/>
          <w:lang w:val="it-IT"/>
        </w:rPr>
        <w:t xml:space="preserve">Chem. </w:t>
      </w:r>
      <w:r w:rsidRPr="00FB5D9D">
        <w:rPr>
          <w:i/>
          <w:lang w:val="en-GB"/>
        </w:rPr>
        <w:t>Rev.</w:t>
      </w:r>
      <w:r w:rsidRPr="00FB5D9D">
        <w:rPr>
          <w:lang w:val="en-GB"/>
        </w:rPr>
        <w:t xml:space="preserve"> </w:t>
      </w:r>
      <w:r w:rsidRPr="00FB5D9D">
        <w:rPr>
          <w:b/>
          <w:lang w:val="en-GB"/>
        </w:rPr>
        <w:t>2017</w:t>
      </w:r>
      <w:r w:rsidRPr="00FB5D9D">
        <w:rPr>
          <w:lang w:val="en-GB"/>
        </w:rPr>
        <w:t xml:space="preserve">, </w:t>
      </w:r>
      <w:r w:rsidRPr="00FB5D9D">
        <w:rPr>
          <w:i/>
          <w:lang w:val="en-GB"/>
        </w:rPr>
        <w:t>117</w:t>
      </w:r>
      <w:r w:rsidRPr="00FB5D9D">
        <w:rPr>
          <w:lang w:val="en-GB"/>
        </w:rPr>
        <w:t>, 2517–2583.</w:t>
      </w:r>
      <w:bookmarkEnd w:id="7"/>
    </w:p>
    <w:p w:rsidR="00FB5D9D" w:rsidRPr="00FB5D9D" w:rsidRDefault="00FB5D9D" w:rsidP="00FB5D9D">
      <w:pPr>
        <w:pStyle w:val="MDPI71References"/>
        <w:numPr>
          <w:ilvl w:val="0"/>
          <w:numId w:val="1"/>
        </w:numPr>
        <w:ind w:left="425" w:hanging="425"/>
        <w:rPr>
          <w:lang w:val="en-GB"/>
        </w:rPr>
      </w:pPr>
      <w:bookmarkStart w:id="8" w:name="_Ref82071570"/>
      <w:r w:rsidRPr="00FB5D9D">
        <w:rPr>
          <w:lang w:val="en-GB"/>
        </w:rPr>
        <w:t xml:space="preserve">Drain, C.M.; Varotto, A.; Radivojevic, I. Self-Organized Porphyrinic Materials. </w:t>
      </w:r>
      <w:r w:rsidRPr="00FB5D9D">
        <w:rPr>
          <w:i/>
          <w:lang w:val="en-GB"/>
        </w:rPr>
        <w:t>Chem. Rev.</w:t>
      </w:r>
      <w:r w:rsidRPr="00FB5D9D">
        <w:rPr>
          <w:lang w:val="en-GB"/>
        </w:rPr>
        <w:t xml:space="preserve"> </w:t>
      </w:r>
      <w:r w:rsidRPr="00FB5D9D">
        <w:rPr>
          <w:b/>
          <w:lang w:val="en-GB"/>
        </w:rPr>
        <w:t>2009</w:t>
      </w:r>
      <w:r w:rsidRPr="00FB5D9D">
        <w:rPr>
          <w:lang w:val="en-GB"/>
        </w:rPr>
        <w:t xml:space="preserve">, </w:t>
      </w:r>
      <w:r w:rsidRPr="00FB5D9D">
        <w:rPr>
          <w:i/>
          <w:lang w:val="en-GB"/>
        </w:rPr>
        <w:t>109</w:t>
      </w:r>
      <w:r w:rsidRPr="00FB5D9D">
        <w:rPr>
          <w:lang w:val="en-GB"/>
        </w:rPr>
        <w:t>, 1630–1658.</w:t>
      </w:r>
      <w:bookmarkEnd w:id="8"/>
    </w:p>
    <w:p w:rsidR="00FB5D9D" w:rsidRPr="00FB5D9D" w:rsidRDefault="00FB5D9D" w:rsidP="00FB5D9D">
      <w:pPr>
        <w:pStyle w:val="MDPI71References"/>
        <w:numPr>
          <w:ilvl w:val="0"/>
          <w:numId w:val="1"/>
        </w:numPr>
        <w:ind w:left="425" w:hanging="425"/>
        <w:rPr>
          <w:lang w:val="en-GB"/>
        </w:rPr>
      </w:pPr>
      <w:bookmarkStart w:id="9" w:name="_Ref82071937"/>
      <w:r w:rsidRPr="00FB5D9D">
        <w:rPr>
          <w:lang w:val="en-GB"/>
        </w:rPr>
        <w:t xml:space="preserve">Liu, Z.; Yasseri, A.A.; Lindsey, J.S.; Bocian, D.F. Molecular memories that survive silicon device processing and real-world operation. </w:t>
      </w:r>
      <w:r w:rsidRPr="00FB5D9D">
        <w:rPr>
          <w:i/>
          <w:lang w:val="en-GB"/>
        </w:rPr>
        <w:t>Science</w:t>
      </w:r>
      <w:r w:rsidRPr="00FB5D9D">
        <w:rPr>
          <w:lang w:val="en-GB"/>
        </w:rPr>
        <w:t xml:space="preserve"> </w:t>
      </w:r>
      <w:r w:rsidRPr="00FB5D9D">
        <w:rPr>
          <w:b/>
          <w:lang w:val="en-GB"/>
        </w:rPr>
        <w:t>2003</w:t>
      </w:r>
      <w:r w:rsidRPr="00FB5D9D">
        <w:rPr>
          <w:lang w:val="en-GB"/>
        </w:rPr>
        <w:t xml:space="preserve">, </w:t>
      </w:r>
      <w:r w:rsidRPr="00FB5D9D">
        <w:rPr>
          <w:i/>
          <w:lang w:val="en-GB"/>
        </w:rPr>
        <w:t>302</w:t>
      </w:r>
      <w:r w:rsidRPr="00FB5D9D">
        <w:rPr>
          <w:lang w:val="en-GB"/>
        </w:rPr>
        <w:t>, 1543–1545.</w:t>
      </w:r>
      <w:bookmarkEnd w:id="9"/>
    </w:p>
    <w:p w:rsidR="00FB5D9D" w:rsidRPr="00FB5D9D" w:rsidRDefault="00FB5D9D" w:rsidP="00FB5D9D">
      <w:pPr>
        <w:pStyle w:val="MDPI71References"/>
        <w:numPr>
          <w:ilvl w:val="0"/>
          <w:numId w:val="1"/>
        </w:numPr>
        <w:ind w:left="425" w:hanging="425"/>
        <w:rPr>
          <w:lang w:val="en-GB"/>
        </w:rPr>
      </w:pPr>
      <w:bookmarkStart w:id="10" w:name="_Ref82072524"/>
      <w:r w:rsidRPr="00FB5D9D">
        <w:rPr>
          <w:lang w:val="en-GB"/>
        </w:rPr>
        <w:t xml:space="preserve">Wende, H.; Bernien, M.; Luo, J.; Sorg, C.; Ponpandian, N.; Kurde, J.; Miguel, J.; Piantek, M.; Xu, X.; Eckhold, P.; Kuch, W.; Baberschke, K.; Panchmatia, P.M.; Sanyal, B.; Oppeneer, P.M.; Eriksson, O. Substrate-induced magnetic ordering and switching of iron porphyrin molecules. </w:t>
      </w:r>
      <w:r w:rsidRPr="00FB5D9D">
        <w:rPr>
          <w:i/>
          <w:lang w:val="en-GB"/>
        </w:rPr>
        <w:t>Nat. Mater.</w:t>
      </w:r>
      <w:r w:rsidRPr="00FB5D9D">
        <w:rPr>
          <w:lang w:val="en-GB"/>
        </w:rPr>
        <w:t xml:space="preserve"> </w:t>
      </w:r>
      <w:r w:rsidRPr="00FB5D9D">
        <w:rPr>
          <w:b/>
          <w:lang w:val="en-GB"/>
        </w:rPr>
        <w:t>2007</w:t>
      </w:r>
      <w:r w:rsidRPr="00FB5D9D">
        <w:rPr>
          <w:lang w:val="en-GB"/>
        </w:rPr>
        <w:t xml:space="preserve">, </w:t>
      </w:r>
      <w:r w:rsidRPr="00FB5D9D">
        <w:rPr>
          <w:i/>
          <w:lang w:val="en-GB"/>
        </w:rPr>
        <w:t>6</w:t>
      </w:r>
      <w:r w:rsidRPr="00FB5D9D">
        <w:rPr>
          <w:lang w:val="en-GB"/>
        </w:rPr>
        <w:t>, 516–520.</w:t>
      </w:r>
      <w:bookmarkEnd w:id="10"/>
    </w:p>
    <w:p w:rsidR="00FB5D9D" w:rsidRPr="00FB5D9D" w:rsidRDefault="00FB5D9D" w:rsidP="00FB5D9D">
      <w:pPr>
        <w:pStyle w:val="MDPI71References"/>
        <w:numPr>
          <w:ilvl w:val="0"/>
          <w:numId w:val="1"/>
        </w:numPr>
        <w:ind w:left="425" w:hanging="425"/>
        <w:rPr>
          <w:lang w:val="en-GB"/>
        </w:rPr>
      </w:pPr>
      <w:bookmarkStart w:id="11" w:name="_Ref82072525"/>
      <w:r w:rsidRPr="00FB5D9D">
        <w:rPr>
          <w:lang w:val="it-IT"/>
        </w:rPr>
        <w:t xml:space="preserve">Cojocariu, I.; Carlotto, S.; Sturmeit, H.M.; Zamborlini, G.; Cinchetti, M.; Cossaro, A.; Verdini, A.; Floreano, L.; Jugovac, M.; Puschnig, P.; Piamonteze, C.; Casarin, M.; Feyer, V.; Schneider, C. M.  </w:t>
      </w:r>
      <w:r w:rsidRPr="00FB5D9D">
        <w:t>Ferrous to Ferric Transition in Fe-Phthalocyanine Driven by NO</w:t>
      </w:r>
      <w:r w:rsidRPr="00FB5D9D">
        <w:rPr>
          <w:vertAlign w:val="subscript"/>
        </w:rPr>
        <w:t>2</w:t>
      </w:r>
      <w:r w:rsidRPr="00FB5D9D">
        <w:t xml:space="preserve"> Exposure. </w:t>
      </w:r>
      <w:r w:rsidRPr="00FB5D9D">
        <w:rPr>
          <w:i/>
          <w:lang w:val="en-GB"/>
        </w:rPr>
        <w:t>Chem. – A Eur. J.</w:t>
      </w:r>
      <w:r w:rsidRPr="00FB5D9D">
        <w:rPr>
          <w:lang w:val="en-GB"/>
        </w:rPr>
        <w:t xml:space="preserve"> </w:t>
      </w:r>
      <w:r w:rsidRPr="00FB5D9D">
        <w:rPr>
          <w:b/>
          <w:lang w:val="en-GB"/>
        </w:rPr>
        <w:t>2021</w:t>
      </w:r>
      <w:r w:rsidRPr="00FB5D9D">
        <w:rPr>
          <w:lang w:val="en-GB"/>
        </w:rPr>
        <w:t xml:space="preserve">, </w:t>
      </w:r>
      <w:r w:rsidRPr="00FB5D9D">
        <w:rPr>
          <w:i/>
          <w:lang w:val="en-GB"/>
        </w:rPr>
        <w:t>27</w:t>
      </w:r>
      <w:r w:rsidRPr="00FB5D9D">
        <w:rPr>
          <w:lang w:val="en-GB"/>
        </w:rPr>
        <w:t>, 3526–3535.</w:t>
      </w:r>
      <w:bookmarkEnd w:id="11"/>
    </w:p>
    <w:p w:rsidR="00FB5D9D" w:rsidRPr="00FB5D9D" w:rsidRDefault="00FB5D9D" w:rsidP="00FB5D9D">
      <w:pPr>
        <w:pStyle w:val="MDPI71References"/>
        <w:numPr>
          <w:ilvl w:val="0"/>
          <w:numId w:val="1"/>
        </w:numPr>
        <w:ind w:left="425" w:hanging="425"/>
        <w:rPr>
          <w:lang w:val="en-GB"/>
        </w:rPr>
      </w:pPr>
      <w:bookmarkStart w:id="12" w:name="_Ref82072729"/>
      <w:r w:rsidRPr="00FB5D9D">
        <w:rPr>
          <w:lang w:val="it-IT"/>
        </w:rPr>
        <w:t>Carlotto, S.; Sambi, M.; Sedona, F.; Vittadini, A.; Bartolomé, J.; Bartolomé, F.; Casarin, M. L</w:t>
      </w:r>
      <w:r w:rsidRPr="00FB5D9D">
        <w:rPr>
          <w:vertAlign w:val="subscript"/>
          <w:lang w:val="it-IT"/>
        </w:rPr>
        <w:t>2,3</w:t>
      </w:r>
      <w:r w:rsidRPr="00FB5D9D">
        <w:rPr>
          <w:lang w:val="it-IT"/>
        </w:rPr>
        <w:t xml:space="preserve">-edges absorption spectra of a 2D complex system: a theoretical modelling. </w:t>
      </w:r>
      <w:r w:rsidRPr="00FB5D9D">
        <w:rPr>
          <w:i/>
          <w:lang w:val="it-IT"/>
        </w:rPr>
        <w:t xml:space="preserve">Phys. </w:t>
      </w:r>
      <w:r w:rsidRPr="00FB5D9D">
        <w:rPr>
          <w:i/>
          <w:lang w:val="en-GB"/>
        </w:rPr>
        <w:t>Chem. Chem. Phys.</w:t>
      </w:r>
      <w:r w:rsidRPr="00FB5D9D">
        <w:rPr>
          <w:lang w:val="en-GB"/>
        </w:rPr>
        <w:t xml:space="preserve"> </w:t>
      </w:r>
      <w:r w:rsidRPr="00FB5D9D">
        <w:rPr>
          <w:b/>
          <w:lang w:val="en-GB"/>
        </w:rPr>
        <w:t>2016</w:t>
      </w:r>
      <w:r w:rsidRPr="00FB5D9D">
        <w:rPr>
          <w:lang w:val="en-GB"/>
        </w:rPr>
        <w:t xml:space="preserve">, </w:t>
      </w:r>
      <w:r w:rsidRPr="00FB5D9D">
        <w:rPr>
          <w:i/>
          <w:lang w:val="en-GB"/>
        </w:rPr>
        <w:t>18</w:t>
      </w:r>
      <w:r w:rsidRPr="00FB5D9D">
        <w:rPr>
          <w:lang w:val="en-GB"/>
        </w:rPr>
        <w:t>, 28110–28116.</w:t>
      </w:r>
      <w:bookmarkEnd w:id="12"/>
    </w:p>
    <w:p w:rsidR="00FB5D9D" w:rsidRPr="00FB5D9D" w:rsidRDefault="00FB5D9D" w:rsidP="00FB5D9D">
      <w:pPr>
        <w:pStyle w:val="MDPI71References"/>
        <w:numPr>
          <w:ilvl w:val="0"/>
          <w:numId w:val="1"/>
        </w:numPr>
        <w:ind w:left="426" w:hanging="426"/>
        <w:rPr>
          <w:lang w:val="en-GB"/>
        </w:rPr>
      </w:pPr>
      <w:bookmarkStart w:id="13" w:name="_Ref87509407"/>
      <w:bookmarkStart w:id="14" w:name="_Ref82087897"/>
      <w:r w:rsidRPr="00FB5D9D">
        <w:lastRenderedPageBreak/>
        <w:t xml:space="preserve">Cojocariu, I.; Carlotto, S.; Zamborlini, G.; Jugovac, M.; Schio, L.; Floreano, L.; Casarin, M.; Feyer, V.; Schneider, C. Reversible redox reactions in metal-supported porphyrin: the role of spin and oxidation state </w:t>
      </w:r>
      <w:r w:rsidRPr="00FB5D9D">
        <w:rPr>
          <w:i/>
          <w:iCs/>
          <w:lang w:val="en-GB"/>
        </w:rPr>
        <w:t>J. Mater. Chem. C</w:t>
      </w:r>
      <w:r w:rsidRPr="00FB5D9D">
        <w:rPr>
          <w:lang w:val="en-GB"/>
        </w:rPr>
        <w:t xml:space="preserve"> </w:t>
      </w:r>
      <w:r w:rsidRPr="00FB5D9D">
        <w:rPr>
          <w:b/>
          <w:bCs/>
          <w:lang w:val="en-GB"/>
        </w:rPr>
        <w:t>2021</w:t>
      </w:r>
      <w:r w:rsidRPr="00FB5D9D">
        <w:rPr>
          <w:lang w:val="en-GB"/>
        </w:rPr>
        <w:t xml:space="preserve">, </w:t>
      </w:r>
      <w:r w:rsidRPr="00FB5D9D">
        <w:rPr>
          <w:i/>
          <w:iCs/>
          <w:lang w:val="en-GB"/>
        </w:rPr>
        <w:t>9</w:t>
      </w:r>
      <w:r w:rsidRPr="00FB5D9D">
        <w:rPr>
          <w:lang w:val="en-GB"/>
        </w:rPr>
        <w:t>, 12559-12565.</w:t>
      </w:r>
      <w:bookmarkEnd w:id="13"/>
      <w:bookmarkEnd w:id="14"/>
    </w:p>
    <w:p w:rsidR="00FB5D9D" w:rsidRPr="00FB5D9D" w:rsidRDefault="00FB5D9D" w:rsidP="00FB5D9D">
      <w:pPr>
        <w:pStyle w:val="MDPI71References"/>
        <w:numPr>
          <w:ilvl w:val="0"/>
          <w:numId w:val="1"/>
        </w:numPr>
        <w:ind w:left="425" w:hanging="425"/>
        <w:rPr>
          <w:lang w:val="en-GB"/>
        </w:rPr>
      </w:pPr>
      <w:bookmarkStart w:id="15" w:name="_Ref82088372"/>
      <w:r w:rsidRPr="00FB5D9D">
        <w:rPr>
          <w:lang w:val="en-GB"/>
        </w:rPr>
        <w:t>Chang, M.H.; Kim, N.Y.; Chang, Y.H.; Lee, Y.; Jeon, U.S.; Kim, H.; Kim, Y.H.; Kahng, S.J O</w:t>
      </w:r>
      <w:r w:rsidRPr="00FB5D9D">
        <w:rPr>
          <w:vertAlign w:val="subscript"/>
          <w:lang w:val="en-GB"/>
        </w:rPr>
        <w:t>2</w:t>
      </w:r>
      <w:r w:rsidRPr="00FB5D9D">
        <w:rPr>
          <w:lang w:val="en-GB"/>
        </w:rPr>
        <w:t>, NO</w:t>
      </w:r>
      <w:r w:rsidRPr="00FB5D9D">
        <w:rPr>
          <w:vertAlign w:val="subscript"/>
          <w:lang w:val="en-GB"/>
        </w:rPr>
        <w:t>2</w:t>
      </w:r>
      <w:r w:rsidRPr="00FB5D9D">
        <w:rPr>
          <w:lang w:val="en-GB"/>
        </w:rPr>
        <w:t xml:space="preserve"> and NH</w:t>
      </w:r>
      <w:r w:rsidRPr="00FB5D9D">
        <w:rPr>
          <w:vertAlign w:val="subscript"/>
          <w:lang w:val="en-GB"/>
        </w:rPr>
        <w:t>3</w:t>
      </w:r>
      <w:r w:rsidRPr="00FB5D9D">
        <w:rPr>
          <w:lang w:val="en-GB"/>
        </w:rPr>
        <w:t xml:space="preserve"> coordination to Co-porphyrin studied with scanning tunneling microscopy on Au(111). </w:t>
      </w:r>
      <w:r w:rsidRPr="00FB5D9D">
        <w:rPr>
          <w:i/>
          <w:lang w:val="en-GB"/>
        </w:rPr>
        <w:t>Nanoscale</w:t>
      </w:r>
      <w:r w:rsidRPr="00FB5D9D">
        <w:rPr>
          <w:lang w:val="en-GB"/>
        </w:rPr>
        <w:t xml:space="preserve"> </w:t>
      </w:r>
      <w:r w:rsidRPr="00FB5D9D">
        <w:rPr>
          <w:b/>
          <w:lang w:val="en-GB"/>
        </w:rPr>
        <w:t>2019</w:t>
      </w:r>
      <w:r w:rsidRPr="00FB5D9D">
        <w:rPr>
          <w:lang w:val="en-GB"/>
        </w:rPr>
        <w:t xml:space="preserve">, </w:t>
      </w:r>
      <w:r w:rsidRPr="00FB5D9D">
        <w:rPr>
          <w:i/>
          <w:lang w:val="en-GB"/>
        </w:rPr>
        <w:t>11</w:t>
      </w:r>
      <w:r w:rsidRPr="00FB5D9D">
        <w:rPr>
          <w:lang w:val="en-GB"/>
        </w:rPr>
        <w:t>, 8510–8517.</w:t>
      </w:r>
      <w:bookmarkEnd w:id="15"/>
    </w:p>
    <w:p w:rsidR="00FB5D9D" w:rsidRPr="00FB5D9D" w:rsidRDefault="00FB5D9D" w:rsidP="00FB5D9D">
      <w:pPr>
        <w:pStyle w:val="MDPI71References"/>
        <w:numPr>
          <w:ilvl w:val="0"/>
          <w:numId w:val="1"/>
        </w:numPr>
        <w:ind w:left="425" w:hanging="425"/>
        <w:rPr>
          <w:lang w:val="en-GB"/>
        </w:rPr>
      </w:pPr>
      <w:r w:rsidRPr="00FB5D9D">
        <w:rPr>
          <w:lang w:val="en-GB"/>
        </w:rPr>
        <w:t xml:space="preserve">Flechtner, K.; Kretschmann, A.; Steinrück, H.P.; Gottfried, J.M. NO-Induced Reversible Switching of the Electronic Interaction between a Porphyrin-Coordinated Cobalt Ion and a Silver Surface. </w:t>
      </w:r>
      <w:r w:rsidRPr="00FB5D9D">
        <w:rPr>
          <w:i/>
          <w:lang w:val="en-GB"/>
        </w:rPr>
        <w:t>J. Am. Chem. Soc.</w:t>
      </w:r>
      <w:r w:rsidRPr="00FB5D9D">
        <w:rPr>
          <w:lang w:val="en-GB"/>
        </w:rPr>
        <w:t xml:space="preserve"> </w:t>
      </w:r>
      <w:r w:rsidRPr="00FB5D9D">
        <w:rPr>
          <w:b/>
          <w:lang w:val="en-GB"/>
        </w:rPr>
        <w:t>2007</w:t>
      </w:r>
      <w:r w:rsidRPr="00FB5D9D">
        <w:rPr>
          <w:lang w:val="en-GB"/>
        </w:rPr>
        <w:t xml:space="preserve">, </w:t>
      </w:r>
      <w:r w:rsidRPr="00FB5D9D">
        <w:rPr>
          <w:i/>
          <w:lang w:val="en-GB"/>
        </w:rPr>
        <w:t>129</w:t>
      </w:r>
      <w:r w:rsidRPr="00FB5D9D">
        <w:rPr>
          <w:lang w:val="en-GB"/>
        </w:rPr>
        <w:t>, 12110–12111.</w:t>
      </w:r>
    </w:p>
    <w:p w:rsidR="00FB5D9D" w:rsidRPr="00FB5D9D" w:rsidRDefault="00FB5D9D" w:rsidP="00FB5D9D">
      <w:pPr>
        <w:pStyle w:val="MDPI71References"/>
        <w:numPr>
          <w:ilvl w:val="0"/>
          <w:numId w:val="1"/>
        </w:numPr>
        <w:ind w:left="425" w:hanging="425"/>
        <w:rPr>
          <w:lang w:val="en-GB"/>
        </w:rPr>
      </w:pPr>
      <w:bookmarkStart w:id="16" w:name="_Ref82095282"/>
      <w:r w:rsidRPr="00FB5D9D">
        <w:rPr>
          <w:lang w:val="en-GB"/>
        </w:rPr>
        <w:t xml:space="preserve">Gottfried, J.M.; Marbach, H. Surface-Confined Coordination Chemistry with Porphyrins and Phthalocyanines: Aspects of Formation, Electronic Structure, and Reactivity. </w:t>
      </w:r>
      <w:r w:rsidRPr="00FB5D9D">
        <w:rPr>
          <w:i/>
          <w:lang w:val="en-GB"/>
        </w:rPr>
        <w:t>Zeitschrift fur Phys. Chemie</w:t>
      </w:r>
      <w:r w:rsidRPr="00FB5D9D">
        <w:rPr>
          <w:lang w:val="en-GB"/>
        </w:rPr>
        <w:t xml:space="preserve"> </w:t>
      </w:r>
      <w:r w:rsidRPr="00FB5D9D">
        <w:rPr>
          <w:b/>
          <w:lang w:val="en-GB"/>
        </w:rPr>
        <w:t>2009</w:t>
      </w:r>
      <w:r w:rsidRPr="00FB5D9D">
        <w:rPr>
          <w:lang w:val="en-GB"/>
        </w:rPr>
        <w:t xml:space="preserve">, </w:t>
      </w:r>
      <w:r w:rsidRPr="00FB5D9D">
        <w:rPr>
          <w:i/>
          <w:lang w:val="en-GB"/>
        </w:rPr>
        <w:t>223</w:t>
      </w:r>
      <w:r w:rsidRPr="00FB5D9D">
        <w:rPr>
          <w:lang w:val="en-GB"/>
        </w:rPr>
        <w:t>, 53–74.</w:t>
      </w:r>
      <w:bookmarkEnd w:id="16"/>
    </w:p>
    <w:p w:rsidR="00FB5D9D" w:rsidRPr="00FB5D9D" w:rsidRDefault="00FB5D9D" w:rsidP="00FB5D9D">
      <w:pPr>
        <w:pStyle w:val="MDPI71References"/>
        <w:numPr>
          <w:ilvl w:val="0"/>
          <w:numId w:val="1"/>
        </w:numPr>
        <w:ind w:left="425" w:hanging="425"/>
        <w:rPr>
          <w:lang w:val="en-GB"/>
        </w:rPr>
      </w:pPr>
      <w:bookmarkStart w:id="17" w:name="_Ref82088965"/>
      <w:r w:rsidRPr="00FB5D9D">
        <w:rPr>
          <w:lang w:val="en-GB"/>
        </w:rPr>
        <w:t>Chang, M.H.; Chang, Y.H.; Kim, N.Y.; Kim, H.; Lee, S.H.; Choi, M.S.; Kim, Y.H.; Kahng, S.J. Tuning and sensing spin interactions in Co-porphyrin/Au with NH</w:t>
      </w:r>
      <w:r w:rsidRPr="00FB5D9D">
        <w:rPr>
          <w:vertAlign w:val="subscript"/>
          <w:lang w:val="en-GB"/>
        </w:rPr>
        <w:t>3</w:t>
      </w:r>
      <w:r w:rsidRPr="00FB5D9D">
        <w:rPr>
          <w:lang w:val="en-GB"/>
        </w:rPr>
        <w:t xml:space="preserve"> and NO</w:t>
      </w:r>
      <w:r w:rsidRPr="00FB5D9D">
        <w:rPr>
          <w:vertAlign w:val="subscript"/>
          <w:lang w:val="en-GB"/>
        </w:rPr>
        <w:t>2</w:t>
      </w:r>
      <w:r w:rsidRPr="00FB5D9D">
        <w:rPr>
          <w:lang w:val="en-GB"/>
        </w:rPr>
        <w:t xml:space="preserve"> binding. </w:t>
      </w:r>
      <w:r w:rsidRPr="00FB5D9D">
        <w:rPr>
          <w:i/>
          <w:lang w:val="en-GB"/>
        </w:rPr>
        <w:t>Phys. Rev. B</w:t>
      </w:r>
      <w:r w:rsidRPr="00FB5D9D">
        <w:rPr>
          <w:lang w:val="en-GB"/>
        </w:rPr>
        <w:t xml:space="preserve"> </w:t>
      </w:r>
      <w:r w:rsidRPr="00FB5D9D">
        <w:rPr>
          <w:b/>
          <w:lang w:val="en-GB"/>
        </w:rPr>
        <w:t>2019</w:t>
      </w:r>
      <w:r w:rsidRPr="00FB5D9D">
        <w:rPr>
          <w:lang w:val="en-GB"/>
        </w:rPr>
        <w:t xml:space="preserve">, </w:t>
      </w:r>
      <w:r w:rsidRPr="00FB5D9D">
        <w:rPr>
          <w:i/>
          <w:lang w:val="en-GB"/>
        </w:rPr>
        <w:t>100</w:t>
      </w:r>
      <w:r w:rsidRPr="00FB5D9D">
        <w:rPr>
          <w:lang w:val="en-GB"/>
        </w:rPr>
        <w:t>, 245406 (1-7).</w:t>
      </w:r>
      <w:bookmarkEnd w:id="17"/>
    </w:p>
    <w:p w:rsidR="00FB5D9D" w:rsidRPr="00FB5D9D" w:rsidRDefault="00FB5D9D" w:rsidP="00FB5D9D">
      <w:pPr>
        <w:pStyle w:val="MDPI71References"/>
        <w:numPr>
          <w:ilvl w:val="0"/>
          <w:numId w:val="1"/>
        </w:numPr>
        <w:ind w:left="425" w:hanging="425"/>
        <w:rPr>
          <w:lang w:val="en-GB"/>
        </w:rPr>
      </w:pPr>
      <w:bookmarkStart w:id="18" w:name="_Ref82088376"/>
      <w:r w:rsidRPr="00FB5D9D">
        <w:rPr>
          <w:lang w:val="en-GB"/>
        </w:rPr>
        <w:t xml:space="preserve">Ballav, N.; Wäckerlin, C.; Siewert, D.; Oppeneer, P.M.; Jung, T.A. Emergence of On-Surface Magnetochemistry. </w:t>
      </w:r>
      <w:r w:rsidRPr="00FB5D9D">
        <w:rPr>
          <w:i/>
          <w:lang w:val="en-GB"/>
        </w:rPr>
        <w:t>J. Phys. Chem. Lett.</w:t>
      </w:r>
      <w:r w:rsidRPr="00FB5D9D">
        <w:rPr>
          <w:lang w:val="en-GB"/>
        </w:rPr>
        <w:t xml:space="preserve"> </w:t>
      </w:r>
      <w:r w:rsidRPr="00FB5D9D">
        <w:rPr>
          <w:b/>
          <w:lang w:val="en-GB"/>
        </w:rPr>
        <w:t>2013</w:t>
      </w:r>
      <w:r w:rsidRPr="00FB5D9D">
        <w:rPr>
          <w:lang w:val="en-GB"/>
        </w:rPr>
        <w:t xml:space="preserve">, </w:t>
      </w:r>
      <w:r w:rsidRPr="00FB5D9D">
        <w:rPr>
          <w:i/>
          <w:lang w:val="en-GB"/>
        </w:rPr>
        <w:t>4</w:t>
      </w:r>
      <w:r w:rsidRPr="00FB5D9D">
        <w:rPr>
          <w:lang w:val="en-GB"/>
        </w:rPr>
        <w:t>, 2303–2311.</w:t>
      </w:r>
      <w:bookmarkEnd w:id="18"/>
    </w:p>
    <w:p w:rsidR="00FB5D9D" w:rsidRPr="00FB5D9D" w:rsidRDefault="00FB5D9D" w:rsidP="00FB5D9D">
      <w:pPr>
        <w:pStyle w:val="MDPI71References"/>
        <w:numPr>
          <w:ilvl w:val="0"/>
          <w:numId w:val="1"/>
        </w:numPr>
        <w:ind w:left="425" w:hanging="425"/>
        <w:rPr>
          <w:lang w:val="en-GB"/>
        </w:rPr>
      </w:pPr>
      <w:bookmarkStart w:id="19" w:name="_Ref82088877"/>
      <w:r w:rsidRPr="00FB5D9D">
        <w:rPr>
          <w:lang w:val="en-GB"/>
        </w:rPr>
        <w:t xml:space="preserve">Wäckerlin, C.; Chylarecka, D.; Kleibert, A.; Müller, K.; Iacovita, C.; Nolting, F.; Jung, T.A.; Ballav, N. Controlling spins in adsorbed molecules by a chemical switch. </w:t>
      </w:r>
      <w:r w:rsidRPr="00FB5D9D">
        <w:rPr>
          <w:i/>
          <w:lang w:val="en-GB"/>
        </w:rPr>
        <w:t>Nat. Commun.</w:t>
      </w:r>
      <w:r w:rsidRPr="00FB5D9D">
        <w:rPr>
          <w:lang w:val="en-GB"/>
        </w:rPr>
        <w:t xml:space="preserve"> </w:t>
      </w:r>
      <w:r w:rsidRPr="00FB5D9D">
        <w:rPr>
          <w:b/>
          <w:lang w:val="en-GB"/>
        </w:rPr>
        <w:t>2010</w:t>
      </w:r>
      <w:r w:rsidRPr="00FB5D9D">
        <w:rPr>
          <w:lang w:val="en-GB"/>
        </w:rPr>
        <w:t xml:space="preserve">, </w:t>
      </w:r>
      <w:r w:rsidRPr="00FB5D9D">
        <w:rPr>
          <w:i/>
          <w:lang w:val="en-GB"/>
        </w:rPr>
        <w:t>1</w:t>
      </w:r>
      <w:r w:rsidRPr="00FB5D9D">
        <w:rPr>
          <w:lang w:val="en-GB"/>
        </w:rPr>
        <w:t>, 1–7.</w:t>
      </w:r>
      <w:bookmarkEnd w:id="19"/>
    </w:p>
    <w:p w:rsidR="00FB5D9D" w:rsidRPr="00FB5D9D" w:rsidRDefault="00FB5D9D" w:rsidP="00FB5D9D">
      <w:pPr>
        <w:pStyle w:val="MDPI71References"/>
        <w:numPr>
          <w:ilvl w:val="0"/>
          <w:numId w:val="1"/>
        </w:numPr>
        <w:ind w:left="425" w:hanging="425"/>
        <w:rPr>
          <w:lang w:val="en-GB"/>
        </w:rPr>
      </w:pPr>
      <w:bookmarkStart w:id="20" w:name="_Ref82088879"/>
      <w:r w:rsidRPr="00FB5D9D">
        <w:rPr>
          <w:lang w:val="en-GB"/>
        </w:rPr>
        <w:t xml:space="preserve">Wäckerlin, C.; Tarafder, K.; Siewert, D.; Girovsky, J.; Hählen, T.; Iacovita, C.; Kleibert, A.; Nolting, F.; Jung, T.A.; Oppeneer, P.M.; Ballav, N. On-surface coordination chemistry of planar molecular spin systems: novel magnetochemical effects induced by axial ligands. </w:t>
      </w:r>
      <w:r w:rsidRPr="00FB5D9D">
        <w:rPr>
          <w:i/>
          <w:lang w:val="en-GB"/>
        </w:rPr>
        <w:t>Chem. Sci.</w:t>
      </w:r>
      <w:r w:rsidRPr="00FB5D9D">
        <w:rPr>
          <w:lang w:val="en-GB"/>
        </w:rPr>
        <w:t xml:space="preserve"> </w:t>
      </w:r>
      <w:r w:rsidRPr="00FB5D9D">
        <w:rPr>
          <w:b/>
          <w:lang w:val="en-GB"/>
        </w:rPr>
        <w:t>2012</w:t>
      </w:r>
      <w:r w:rsidRPr="00FB5D9D">
        <w:rPr>
          <w:lang w:val="en-GB"/>
        </w:rPr>
        <w:t xml:space="preserve">, </w:t>
      </w:r>
      <w:r w:rsidRPr="00FB5D9D">
        <w:rPr>
          <w:i/>
          <w:lang w:val="en-GB"/>
        </w:rPr>
        <w:t>3</w:t>
      </w:r>
      <w:r w:rsidRPr="00FB5D9D">
        <w:rPr>
          <w:lang w:val="en-GB"/>
        </w:rPr>
        <w:t>, 3154–3160.</w:t>
      </w:r>
      <w:bookmarkEnd w:id="20"/>
    </w:p>
    <w:p w:rsidR="00FB5D9D" w:rsidRPr="00FB5D9D" w:rsidRDefault="00FB5D9D" w:rsidP="00FB5D9D">
      <w:pPr>
        <w:pStyle w:val="MDPI71References"/>
        <w:numPr>
          <w:ilvl w:val="0"/>
          <w:numId w:val="1"/>
        </w:numPr>
        <w:ind w:left="425" w:hanging="425"/>
        <w:rPr>
          <w:lang w:val="en-GB"/>
        </w:rPr>
      </w:pPr>
      <w:bookmarkStart w:id="21" w:name="_Ref82089106"/>
      <w:r w:rsidRPr="00FB5D9D">
        <w:rPr>
          <w:lang w:val="en-GB"/>
        </w:rPr>
        <w:t xml:space="preserve">Hieringer, W.; Flechtner, K.; Kretschmann, A.; Seufert, K.; Auwärter, W.; Barth, J.V.; Görling, A.; Steinrück, H.P.; Gottfried, J.M. The Surface Trans Effect: Influence of Axial Ligands on the Surface Chemical Bonds of Adsorbed Metalloporphyrins. </w:t>
      </w:r>
      <w:r w:rsidRPr="00FB5D9D">
        <w:rPr>
          <w:i/>
          <w:lang w:val="en-GB"/>
        </w:rPr>
        <w:t>J. Am. Chem. Soc.</w:t>
      </w:r>
      <w:r w:rsidRPr="00FB5D9D">
        <w:rPr>
          <w:lang w:val="en-GB"/>
        </w:rPr>
        <w:t xml:space="preserve"> </w:t>
      </w:r>
      <w:r w:rsidRPr="00FB5D9D">
        <w:rPr>
          <w:b/>
          <w:lang w:val="en-GB"/>
        </w:rPr>
        <w:t>2011</w:t>
      </w:r>
      <w:r w:rsidRPr="00FB5D9D">
        <w:rPr>
          <w:lang w:val="en-GB"/>
        </w:rPr>
        <w:t xml:space="preserve">, </w:t>
      </w:r>
      <w:r w:rsidRPr="00FB5D9D">
        <w:rPr>
          <w:i/>
          <w:lang w:val="en-GB"/>
        </w:rPr>
        <w:t>133</w:t>
      </w:r>
      <w:r w:rsidRPr="00FB5D9D">
        <w:rPr>
          <w:lang w:val="en-GB"/>
        </w:rPr>
        <w:t>, 6206–6222.</w:t>
      </w:r>
      <w:bookmarkEnd w:id="21"/>
    </w:p>
    <w:p w:rsidR="00FB5D9D" w:rsidRPr="00FB5D9D" w:rsidRDefault="00FB5D9D" w:rsidP="00FB5D9D">
      <w:pPr>
        <w:pStyle w:val="MDPI71References"/>
        <w:numPr>
          <w:ilvl w:val="0"/>
          <w:numId w:val="1"/>
        </w:numPr>
        <w:ind w:left="426" w:hanging="426"/>
        <w:rPr>
          <w:lang w:val="en-GB"/>
        </w:rPr>
      </w:pPr>
      <w:bookmarkStart w:id="22" w:name="_Ref82089609"/>
      <w:bookmarkStart w:id="23" w:name="_Ref82089355"/>
      <w:r w:rsidRPr="00FB5D9D">
        <w:rPr>
          <w:lang w:val="en-GB"/>
        </w:rPr>
        <w:t xml:space="preserve">Houwaart, T.; Le Bahers, T.; Sautet, P.; Auwärter, W.; Seufert, K.; Barth, J.V.; Bocquet, M.L. Scrutinizing individual CoTPP molecule adsorbed on coinage metal surfaces from the interplay of STM experiment and theory. </w:t>
      </w:r>
      <w:r w:rsidRPr="00FB5D9D">
        <w:rPr>
          <w:i/>
          <w:lang w:val="en-GB"/>
        </w:rPr>
        <w:t>Surf. Sci.</w:t>
      </w:r>
      <w:r w:rsidRPr="00FB5D9D">
        <w:rPr>
          <w:lang w:val="en-GB"/>
        </w:rPr>
        <w:t xml:space="preserve"> </w:t>
      </w:r>
      <w:r w:rsidRPr="00FB5D9D">
        <w:rPr>
          <w:b/>
          <w:lang w:val="en-GB"/>
        </w:rPr>
        <w:t>2015</w:t>
      </w:r>
      <w:r w:rsidRPr="00FB5D9D">
        <w:rPr>
          <w:lang w:val="en-GB"/>
        </w:rPr>
        <w:t xml:space="preserve">, </w:t>
      </w:r>
      <w:r w:rsidRPr="00FB5D9D">
        <w:rPr>
          <w:i/>
          <w:lang w:val="en-GB"/>
        </w:rPr>
        <w:t>635</w:t>
      </w:r>
      <w:r w:rsidRPr="00FB5D9D">
        <w:rPr>
          <w:lang w:val="en-GB"/>
        </w:rPr>
        <w:t>, 108–114.</w:t>
      </w:r>
      <w:bookmarkEnd w:id="22"/>
    </w:p>
    <w:p w:rsidR="00FB5D9D" w:rsidRPr="00FB5D9D" w:rsidRDefault="00FB5D9D" w:rsidP="00FB5D9D">
      <w:pPr>
        <w:pStyle w:val="MDPI71References"/>
        <w:numPr>
          <w:ilvl w:val="0"/>
          <w:numId w:val="1"/>
        </w:numPr>
        <w:ind w:left="425" w:hanging="425"/>
        <w:rPr>
          <w:lang w:val="en-GB"/>
        </w:rPr>
      </w:pPr>
      <w:bookmarkStart w:id="24" w:name="_Ref82089973"/>
      <w:r w:rsidRPr="00FB5D9D">
        <w:rPr>
          <w:lang w:val="it-IT"/>
        </w:rPr>
        <w:t>Bertoncello, R.; Bettinelli, M.; Casarin, M.; Gulino, A.; Tondello, E.; Vittadini, A. Zn</w:t>
      </w:r>
      <w:r w:rsidRPr="00FB5D9D">
        <w:rPr>
          <w:vertAlign w:val="subscript"/>
          <w:lang w:val="it-IT"/>
        </w:rPr>
        <w:t>4</w:t>
      </w:r>
      <w:r w:rsidRPr="00FB5D9D">
        <w:rPr>
          <w:lang w:val="it-IT"/>
        </w:rPr>
        <w:t>O(acetate)</w:t>
      </w:r>
      <w:r w:rsidRPr="00FB5D9D">
        <w:rPr>
          <w:vertAlign w:val="subscript"/>
          <w:lang w:val="it-IT"/>
        </w:rPr>
        <w:t>6</w:t>
      </w:r>
      <w:r w:rsidRPr="00FB5D9D">
        <w:rPr>
          <w:lang w:val="it-IT"/>
        </w:rPr>
        <w:t xml:space="preserve">, a Well-Tailored Molecular Model of ZnO. </w:t>
      </w:r>
      <w:r w:rsidRPr="00FB5D9D">
        <w:rPr>
          <w:lang w:val="en-GB"/>
        </w:rPr>
        <w:t>An Experimental and Theoretical Investigation of the Electronic Structure of Zn</w:t>
      </w:r>
      <w:r w:rsidRPr="00FB5D9D">
        <w:rPr>
          <w:vertAlign w:val="subscript"/>
          <w:lang w:val="en-GB"/>
        </w:rPr>
        <w:t>4</w:t>
      </w:r>
      <w:r w:rsidRPr="00FB5D9D">
        <w:rPr>
          <w:lang w:val="en-GB"/>
        </w:rPr>
        <w:t>O(acetate)</w:t>
      </w:r>
      <w:r w:rsidRPr="00FB5D9D">
        <w:rPr>
          <w:vertAlign w:val="subscript"/>
          <w:lang w:val="en-GB"/>
        </w:rPr>
        <w:t>6</w:t>
      </w:r>
      <w:r w:rsidRPr="00FB5D9D">
        <w:rPr>
          <w:lang w:val="en-GB"/>
        </w:rPr>
        <w:t xml:space="preserve"> and ZnO by Means of UV and X-ray Photoelectron Spectroscopies and First Principle Local Density Molecular Cluster Calculations. </w:t>
      </w:r>
      <w:r w:rsidRPr="00FB5D9D">
        <w:rPr>
          <w:i/>
          <w:lang w:val="en-GB"/>
        </w:rPr>
        <w:t>Inorg. Chem.</w:t>
      </w:r>
      <w:r w:rsidRPr="00FB5D9D">
        <w:rPr>
          <w:lang w:val="en-GB"/>
        </w:rPr>
        <w:t xml:space="preserve"> </w:t>
      </w:r>
      <w:r w:rsidRPr="00FB5D9D">
        <w:rPr>
          <w:b/>
          <w:lang w:val="en-GB"/>
        </w:rPr>
        <w:t>1992</w:t>
      </w:r>
      <w:r w:rsidRPr="00FB5D9D">
        <w:rPr>
          <w:lang w:val="en-GB"/>
        </w:rPr>
        <w:t xml:space="preserve">, </w:t>
      </w:r>
      <w:r w:rsidRPr="00FB5D9D">
        <w:rPr>
          <w:i/>
          <w:lang w:val="en-GB"/>
        </w:rPr>
        <w:t>31</w:t>
      </w:r>
      <w:r w:rsidRPr="00FB5D9D">
        <w:rPr>
          <w:lang w:val="en-GB"/>
        </w:rPr>
        <w:t>, 1558-1565.</w:t>
      </w:r>
      <w:bookmarkEnd w:id="23"/>
      <w:bookmarkEnd w:id="24"/>
    </w:p>
    <w:p w:rsidR="00FB5D9D" w:rsidRPr="00FB5D9D" w:rsidRDefault="00FB5D9D" w:rsidP="00FB5D9D">
      <w:pPr>
        <w:pStyle w:val="MDPI71References"/>
        <w:numPr>
          <w:ilvl w:val="0"/>
          <w:numId w:val="1"/>
        </w:numPr>
        <w:ind w:left="425" w:hanging="425"/>
        <w:rPr>
          <w:lang w:val="en-GB"/>
        </w:rPr>
      </w:pPr>
      <w:bookmarkStart w:id="25" w:name="_Ref76538474"/>
      <w:bookmarkStart w:id="26" w:name="_Ref82095211"/>
      <w:bookmarkStart w:id="27" w:name="_Ref413326659"/>
      <w:bookmarkStart w:id="28" w:name="_Ref76623949"/>
      <w:bookmarkStart w:id="29" w:name="_Ref43272870"/>
      <w:bookmarkEnd w:id="25"/>
      <w:r w:rsidRPr="00FB5D9D">
        <w:rPr>
          <w:lang w:val="en-GB"/>
        </w:rPr>
        <w:t xml:space="preserve">Weber-Bargioni, A.; Auwärter, W.; Klappenberger, F.; Reichert, J.; Lefrançois, S.; Strunskus, T.; Wöll, C.; Schiffrin, A.; Pennec, Y.; Barth, J.V. Visualizing the Frontier Orbitals of a Conformationally Adapted Metalloporphyrin. </w:t>
      </w:r>
      <w:r w:rsidRPr="00FB5D9D">
        <w:rPr>
          <w:i/>
          <w:lang w:val="en-GB"/>
        </w:rPr>
        <w:t>ChemPhysChem</w:t>
      </w:r>
      <w:r w:rsidRPr="00FB5D9D">
        <w:rPr>
          <w:lang w:val="en-GB"/>
        </w:rPr>
        <w:t xml:space="preserve"> </w:t>
      </w:r>
      <w:r w:rsidRPr="00FB5D9D">
        <w:rPr>
          <w:b/>
          <w:lang w:val="en-GB"/>
        </w:rPr>
        <w:t>2008</w:t>
      </w:r>
      <w:r w:rsidRPr="00FB5D9D">
        <w:rPr>
          <w:lang w:val="en-GB"/>
        </w:rPr>
        <w:t xml:space="preserve">, </w:t>
      </w:r>
      <w:r w:rsidRPr="00FB5D9D">
        <w:rPr>
          <w:i/>
          <w:lang w:val="en-GB"/>
        </w:rPr>
        <w:t>9</w:t>
      </w:r>
      <w:r w:rsidRPr="00FB5D9D">
        <w:rPr>
          <w:lang w:val="en-GB"/>
        </w:rPr>
        <w:t>, 89–94.</w:t>
      </w:r>
      <w:bookmarkEnd w:id="26"/>
    </w:p>
    <w:p w:rsidR="00FB5D9D" w:rsidRPr="00FB5D9D" w:rsidRDefault="00FB5D9D" w:rsidP="00FB5D9D">
      <w:pPr>
        <w:pStyle w:val="MDPI71References"/>
        <w:numPr>
          <w:ilvl w:val="0"/>
          <w:numId w:val="1"/>
        </w:numPr>
        <w:ind w:left="425" w:hanging="425"/>
        <w:rPr>
          <w:lang w:val="en-GB"/>
        </w:rPr>
      </w:pPr>
      <w:bookmarkStart w:id="30" w:name="_Ref82095213"/>
      <w:r w:rsidRPr="00FB5D9D">
        <w:rPr>
          <w:lang w:val="en-GB"/>
        </w:rPr>
        <w:t>Donovan, P.; Robin, A.; Dyer, M.S.; Persson, M.; Raval, R.</w:t>
      </w:r>
      <w:r w:rsidRPr="00FB5D9D">
        <w:rPr>
          <w:i/>
          <w:lang w:val="en-GB"/>
        </w:rPr>
        <w:t xml:space="preserve"> </w:t>
      </w:r>
      <w:r w:rsidRPr="00FB5D9D">
        <w:rPr>
          <w:iCs/>
          <w:lang w:val="en-GB"/>
        </w:rPr>
        <w:t>Unexpected Deformations Induced by Surface Interaction and Chiral Self-Assembly of Co</w:t>
      </w:r>
      <w:r w:rsidRPr="00FB5D9D">
        <w:rPr>
          <w:iCs/>
          <w:vertAlign w:val="superscript"/>
          <w:lang w:val="en-GB"/>
        </w:rPr>
        <w:t>II</w:t>
      </w:r>
      <w:r w:rsidRPr="00FB5D9D">
        <w:rPr>
          <w:iCs/>
          <w:lang w:val="en-GB"/>
        </w:rPr>
        <w:t>-Tetraphenylporphyrin (Co-TPP) Adsorbed on Cu(110): A Combined STM and Periodic DFT Study.</w:t>
      </w:r>
      <w:r w:rsidRPr="00FB5D9D">
        <w:rPr>
          <w:i/>
          <w:lang w:val="en-GB"/>
        </w:rPr>
        <w:t xml:space="preserve"> Chem. - A Eur. J.</w:t>
      </w:r>
      <w:r w:rsidRPr="00FB5D9D">
        <w:rPr>
          <w:lang w:val="en-GB"/>
        </w:rPr>
        <w:t xml:space="preserve"> </w:t>
      </w:r>
      <w:r w:rsidRPr="00FB5D9D">
        <w:rPr>
          <w:b/>
          <w:lang w:val="en-GB"/>
        </w:rPr>
        <w:t>2010</w:t>
      </w:r>
      <w:r w:rsidRPr="00FB5D9D">
        <w:rPr>
          <w:lang w:val="en-GB"/>
        </w:rPr>
        <w:t xml:space="preserve">, </w:t>
      </w:r>
      <w:r w:rsidRPr="00FB5D9D">
        <w:rPr>
          <w:i/>
          <w:lang w:val="en-GB"/>
        </w:rPr>
        <w:t>16</w:t>
      </w:r>
      <w:r w:rsidRPr="00FB5D9D">
        <w:rPr>
          <w:lang w:val="en-GB"/>
        </w:rPr>
        <w:t>, 11641–11652</w:t>
      </w:r>
      <w:bookmarkEnd w:id="30"/>
      <w:r w:rsidRPr="00FB5D9D">
        <w:rPr>
          <w:lang w:val="en-GB"/>
        </w:rPr>
        <w:t>.</w:t>
      </w:r>
    </w:p>
    <w:p w:rsidR="00FB5D9D" w:rsidRPr="00FB5D9D" w:rsidRDefault="00FB5D9D" w:rsidP="00FB5D9D">
      <w:pPr>
        <w:pStyle w:val="MDPI71References"/>
        <w:numPr>
          <w:ilvl w:val="0"/>
          <w:numId w:val="1"/>
        </w:numPr>
        <w:ind w:left="425" w:hanging="425"/>
        <w:rPr>
          <w:lang w:val="en-GB"/>
        </w:rPr>
      </w:pPr>
      <w:bookmarkStart w:id="31" w:name="_Ref82095884"/>
      <w:r w:rsidRPr="00FB5D9D">
        <w:rPr>
          <w:lang w:val="en-GB"/>
        </w:rPr>
        <w:t xml:space="preserve">Lukasczyk, T.; Flechtner, K.; Merte, L.R.; Jux, N.; Maier, F.; Gottfried, J.M.; Steinrück, H.P. Interaction of Cobalt(II) Tetraarylporphyrins with a Ag(111) Surface Studied with Photoelectron Spectroscopy. </w:t>
      </w:r>
      <w:r w:rsidRPr="00FB5D9D">
        <w:rPr>
          <w:i/>
          <w:lang w:val="en-GB"/>
        </w:rPr>
        <w:t>J. Phys. Chem. C</w:t>
      </w:r>
      <w:r w:rsidRPr="00FB5D9D">
        <w:rPr>
          <w:lang w:val="en-GB"/>
        </w:rPr>
        <w:t xml:space="preserve"> </w:t>
      </w:r>
      <w:r w:rsidRPr="00FB5D9D">
        <w:rPr>
          <w:b/>
          <w:lang w:val="en-GB"/>
        </w:rPr>
        <w:t>2007</w:t>
      </w:r>
      <w:r w:rsidRPr="00FB5D9D">
        <w:rPr>
          <w:lang w:val="en-GB"/>
        </w:rPr>
        <w:t xml:space="preserve">, </w:t>
      </w:r>
      <w:r w:rsidRPr="00FB5D9D">
        <w:rPr>
          <w:i/>
          <w:lang w:val="en-GB"/>
        </w:rPr>
        <w:t>111</w:t>
      </w:r>
      <w:r w:rsidRPr="00FB5D9D">
        <w:rPr>
          <w:lang w:val="en-GB"/>
        </w:rPr>
        <w:t>, 3090–3098.</w:t>
      </w:r>
      <w:bookmarkEnd w:id="31"/>
    </w:p>
    <w:p w:rsidR="00FB5D9D" w:rsidRPr="00FB5D9D" w:rsidRDefault="00FB5D9D" w:rsidP="00FB5D9D">
      <w:pPr>
        <w:pStyle w:val="MDPI71References"/>
        <w:numPr>
          <w:ilvl w:val="0"/>
          <w:numId w:val="1"/>
        </w:numPr>
        <w:ind w:left="425" w:hanging="425"/>
        <w:rPr>
          <w:lang w:val="en-GB"/>
        </w:rPr>
      </w:pPr>
      <w:bookmarkStart w:id="32" w:name="_Ref82095908"/>
      <w:r w:rsidRPr="00FB5D9D">
        <w:rPr>
          <w:lang w:val="en-GB"/>
        </w:rPr>
        <w:t xml:space="preserve">Wechsler, D.; Franke, M.; Tariq, Q.; Zhang, L.; Lee, T.L.; Thakur, P.K.; Tsud, N.; Bercha, S.; Prince, K.C.; Steinrück, H.P.; Lytken, O. Adsorption Structure of Cobalt Tetraphenylporphyrin on Ag(100). </w:t>
      </w:r>
      <w:r w:rsidRPr="00FB5D9D">
        <w:rPr>
          <w:i/>
          <w:iCs/>
          <w:lang w:val="en-GB"/>
        </w:rPr>
        <w:t>J.</w:t>
      </w:r>
      <w:r w:rsidRPr="00FB5D9D">
        <w:rPr>
          <w:lang w:val="en-GB"/>
        </w:rPr>
        <w:t xml:space="preserve"> </w:t>
      </w:r>
      <w:r w:rsidRPr="00FB5D9D">
        <w:rPr>
          <w:i/>
          <w:lang w:val="en-GB"/>
        </w:rPr>
        <w:t>Phys. Chem. C</w:t>
      </w:r>
      <w:r w:rsidRPr="00FB5D9D">
        <w:rPr>
          <w:lang w:val="en-GB"/>
        </w:rPr>
        <w:t xml:space="preserve"> </w:t>
      </w:r>
      <w:r w:rsidRPr="00FB5D9D">
        <w:rPr>
          <w:b/>
          <w:lang w:val="en-GB"/>
        </w:rPr>
        <w:t>2017</w:t>
      </w:r>
      <w:r w:rsidRPr="00FB5D9D">
        <w:rPr>
          <w:lang w:val="en-GB"/>
        </w:rPr>
        <w:t xml:space="preserve">, </w:t>
      </w:r>
      <w:r w:rsidRPr="00FB5D9D">
        <w:rPr>
          <w:i/>
          <w:lang w:val="en-GB"/>
        </w:rPr>
        <w:t>121</w:t>
      </w:r>
      <w:r w:rsidRPr="00FB5D9D">
        <w:rPr>
          <w:lang w:val="en-GB"/>
        </w:rPr>
        <w:t>, 5667–5674.</w:t>
      </w:r>
      <w:bookmarkEnd w:id="32"/>
    </w:p>
    <w:p w:rsidR="00FB5D9D" w:rsidRPr="00FB5D9D" w:rsidRDefault="00FB5D9D" w:rsidP="00FB5D9D">
      <w:pPr>
        <w:pStyle w:val="MDPI71References"/>
        <w:numPr>
          <w:ilvl w:val="0"/>
          <w:numId w:val="1"/>
        </w:numPr>
        <w:ind w:left="425" w:hanging="425"/>
        <w:rPr>
          <w:lang w:val="en-GB"/>
        </w:rPr>
      </w:pPr>
      <w:bookmarkStart w:id="33" w:name="_Ref82096715"/>
      <w:r w:rsidRPr="00FB5D9D">
        <w:rPr>
          <w:lang w:val="en-GB"/>
        </w:rPr>
        <w:t xml:space="preserve">Barlow, D.E.; Scudiero, L.; Hipps, K.W. Scanning Tunneling Microscopy Study of the Structure and Orbital-Mediated Tunneling Spectra of Cobalt(II) Phthalocyanine and Cobalt(II) Tetraphenylporphyrin on Au(111):  Mixed Composition Films. </w:t>
      </w:r>
      <w:r w:rsidRPr="00FB5D9D">
        <w:rPr>
          <w:i/>
          <w:lang w:val="en-GB"/>
        </w:rPr>
        <w:t>Langmuir</w:t>
      </w:r>
      <w:r w:rsidRPr="00FB5D9D">
        <w:rPr>
          <w:lang w:val="en-GB"/>
        </w:rPr>
        <w:t xml:space="preserve"> </w:t>
      </w:r>
      <w:r w:rsidRPr="00FB5D9D">
        <w:rPr>
          <w:b/>
          <w:lang w:val="en-GB"/>
        </w:rPr>
        <w:t>2004</w:t>
      </w:r>
      <w:r w:rsidRPr="00FB5D9D">
        <w:rPr>
          <w:lang w:val="en-GB"/>
        </w:rPr>
        <w:t xml:space="preserve">, </w:t>
      </w:r>
      <w:r w:rsidRPr="00FB5D9D">
        <w:rPr>
          <w:i/>
          <w:lang w:val="en-GB"/>
        </w:rPr>
        <w:t>20</w:t>
      </w:r>
      <w:r w:rsidRPr="00FB5D9D">
        <w:rPr>
          <w:lang w:val="en-GB"/>
        </w:rPr>
        <w:t>, 4413–4421.</w:t>
      </w:r>
      <w:bookmarkEnd w:id="33"/>
    </w:p>
    <w:p w:rsidR="00FB5D9D" w:rsidRPr="00FB5D9D" w:rsidRDefault="00FB5D9D" w:rsidP="00FB5D9D">
      <w:pPr>
        <w:pStyle w:val="MDPI71References"/>
        <w:numPr>
          <w:ilvl w:val="0"/>
          <w:numId w:val="1"/>
        </w:numPr>
        <w:ind w:left="425" w:hanging="425"/>
        <w:rPr>
          <w:lang w:val="en-GB"/>
        </w:rPr>
      </w:pPr>
      <w:bookmarkStart w:id="34" w:name="_Ref82097156"/>
      <w:r w:rsidRPr="00FB5D9D">
        <w:rPr>
          <w:lang w:val="en-GB"/>
        </w:rPr>
        <w:t>Chang, Y.H.; Kim, H.; Kahng, S.J.; Kim, Y.H. Axial coordination and electronic structure of diatomic NO, CO, and O</w:t>
      </w:r>
      <w:r w:rsidRPr="00FB5D9D">
        <w:rPr>
          <w:vertAlign w:val="subscript"/>
          <w:lang w:val="en-GB"/>
        </w:rPr>
        <w:t>2</w:t>
      </w:r>
      <w:r w:rsidRPr="00FB5D9D">
        <w:rPr>
          <w:lang w:val="en-GB"/>
        </w:rPr>
        <w:t xml:space="preserve"> molecules adsorbed onto Co-tetraphenylporphyrin on Au(111), Ag(111), and Cu(111): a density-functional theory study. </w:t>
      </w:r>
      <w:r w:rsidRPr="00FB5D9D">
        <w:rPr>
          <w:i/>
          <w:lang w:val="en-GB"/>
        </w:rPr>
        <w:t>Dalton Trans.</w:t>
      </w:r>
      <w:r w:rsidRPr="00FB5D9D">
        <w:rPr>
          <w:lang w:val="en-GB"/>
        </w:rPr>
        <w:t xml:space="preserve"> </w:t>
      </w:r>
      <w:r w:rsidRPr="00FB5D9D">
        <w:rPr>
          <w:b/>
          <w:lang w:val="en-GB"/>
        </w:rPr>
        <w:t>2016</w:t>
      </w:r>
      <w:r w:rsidRPr="00FB5D9D">
        <w:rPr>
          <w:lang w:val="en-GB"/>
        </w:rPr>
        <w:t xml:space="preserve">, </w:t>
      </w:r>
      <w:r w:rsidRPr="00FB5D9D">
        <w:rPr>
          <w:i/>
          <w:lang w:val="en-GB"/>
        </w:rPr>
        <w:t>45</w:t>
      </w:r>
      <w:r w:rsidRPr="00FB5D9D">
        <w:rPr>
          <w:lang w:val="en-GB"/>
        </w:rPr>
        <w:t>, 16673–16681.</w:t>
      </w:r>
      <w:bookmarkEnd w:id="34"/>
    </w:p>
    <w:p w:rsidR="00FB5D9D" w:rsidRPr="00FB5D9D" w:rsidRDefault="00FB5D9D" w:rsidP="00FB5D9D">
      <w:pPr>
        <w:pStyle w:val="MDPI71References"/>
        <w:numPr>
          <w:ilvl w:val="0"/>
          <w:numId w:val="1"/>
        </w:numPr>
        <w:ind w:left="425" w:hanging="425"/>
        <w:rPr>
          <w:lang w:val="en-GB"/>
        </w:rPr>
      </w:pPr>
      <w:bookmarkStart w:id="35" w:name="_Ref82099582"/>
      <w:r w:rsidRPr="00FB5D9D">
        <w:rPr>
          <w:lang w:val="en-GB"/>
        </w:rPr>
        <w:t>te Velde, G.; Bickelhaupt, F.M.; Baerends, E.J.; Fonseca Guerra, C.; van Gisbergen, S.J.A.; Snijders, J.G.,Ziegler, T.</w:t>
      </w:r>
      <w:r w:rsidRPr="00FB5D9D">
        <w:t xml:space="preserve"> </w:t>
      </w:r>
      <w:r w:rsidRPr="00FB5D9D">
        <w:rPr>
          <w:lang w:val="en-GB"/>
        </w:rPr>
        <w:t xml:space="preserve">Chemistry with ADF </w:t>
      </w:r>
      <w:r w:rsidRPr="00FB5D9D">
        <w:rPr>
          <w:i/>
          <w:iCs/>
          <w:lang w:val="en-GB"/>
        </w:rPr>
        <w:t>J. Comput. Chem</w:t>
      </w:r>
      <w:r w:rsidRPr="00FB5D9D">
        <w:rPr>
          <w:lang w:val="en-GB"/>
        </w:rPr>
        <w:t>.</w:t>
      </w:r>
      <w:r w:rsidRPr="00FB5D9D">
        <w:rPr>
          <w:b/>
          <w:bCs/>
          <w:lang w:val="en-GB"/>
        </w:rPr>
        <w:t xml:space="preserve"> 2001</w:t>
      </w:r>
      <w:r w:rsidRPr="00FB5D9D">
        <w:rPr>
          <w:lang w:val="en-GB"/>
        </w:rPr>
        <w:t xml:space="preserve">, </w:t>
      </w:r>
      <w:r w:rsidRPr="00FB5D9D">
        <w:rPr>
          <w:i/>
          <w:iCs/>
          <w:lang w:val="en-GB"/>
        </w:rPr>
        <w:t>22</w:t>
      </w:r>
      <w:r w:rsidRPr="00FB5D9D">
        <w:rPr>
          <w:lang w:val="en-GB"/>
        </w:rPr>
        <w:t>, 931–967.</w:t>
      </w:r>
      <w:bookmarkEnd w:id="35"/>
    </w:p>
    <w:p w:rsidR="00FB5D9D" w:rsidRPr="00FB5D9D" w:rsidRDefault="00FB5D9D" w:rsidP="00FB5D9D">
      <w:pPr>
        <w:pStyle w:val="MDPI71References"/>
        <w:numPr>
          <w:ilvl w:val="0"/>
          <w:numId w:val="1"/>
        </w:numPr>
        <w:ind w:left="425" w:hanging="425"/>
        <w:rPr>
          <w:lang w:val="en-GB"/>
        </w:rPr>
      </w:pPr>
      <w:bookmarkStart w:id="36" w:name="_Ref82099584"/>
      <w:r w:rsidRPr="00FB5D9D">
        <w:rPr>
          <w:lang w:val="en-GB"/>
        </w:rPr>
        <w:t>ADF2014; SCM; Theoretical Chemistry; Vrije Universiteit; Amsterdam; The Netherlands; http://www.scm.com.</w:t>
      </w:r>
      <w:bookmarkEnd w:id="36"/>
    </w:p>
    <w:p w:rsidR="00FB5D9D" w:rsidRPr="00FB5D9D" w:rsidRDefault="00FB5D9D" w:rsidP="00FB5D9D">
      <w:pPr>
        <w:pStyle w:val="MDPI71References"/>
        <w:numPr>
          <w:ilvl w:val="0"/>
          <w:numId w:val="1"/>
        </w:numPr>
        <w:ind w:left="425" w:hanging="425"/>
        <w:rPr>
          <w:lang w:val="en-GB"/>
        </w:rPr>
      </w:pPr>
      <w:bookmarkStart w:id="37" w:name="_Ref82099677"/>
      <w:r w:rsidRPr="00FB5D9D">
        <w:rPr>
          <w:lang w:val="en-GB"/>
        </w:rPr>
        <w:t xml:space="preserve">Van Lenthe, E.; Ehlers, A.; Baerends, E.J. Geometry optimizations in the zero order regular approximation for relativistic effects. </w:t>
      </w:r>
      <w:r w:rsidRPr="00FB5D9D">
        <w:rPr>
          <w:i/>
          <w:iCs/>
          <w:lang w:val="en-GB"/>
        </w:rPr>
        <w:t>J. Chem. Phys</w:t>
      </w:r>
      <w:r w:rsidRPr="00FB5D9D">
        <w:rPr>
          <w:lang w:val="en-GB"/>
        </w:rPr>
        <w:t xml:space="preserve">. </w:t>
      </w:r>
      <w:r w:rsidRPr="00FB5D9D">
        <w:rPr>
          <w:b/>
          <w:bCs/>
          <w:lang w:val="en-GB"/>
        </w:rPr>
        <w:t>1999</w:t>
      </w:r>
      <w:r w:rsidRPr="00FB5D9D">
        <w:rPr>
          <w:lang w:val="en-GB"/>
        </w:rPr>
        <w:t xml:space="preserve">, </w:t>
      </w:r>
      <w:r w:rsidRPr="00FB5D9D">
        <w:rPr>
          <w:i/>
          <w:iCs/>
          <w:lang w:val="en-GB"/>
        </w:rPr>
        <w:t>110</w:t>
      </w:r>
      <w:r w:rsidRPr="00FB5D9D">
        <w:rPr>
          <w:lang w:val="en-GB"/>
        </w:rPr>
        <w:t>, 8943–8953.</w:t>
      </w:r>
      <w:bookmarkEnd w:id="37"/>
    </w:p>
    <w:p w:rsidR="00FB5D9D" w:rsidRPr="00FB5D9D" w:rsidRDefault="00FB5D9D" w:rsidP="00FB5D9D">
      <w:pPr>
        <w:pStyle w:val="MDPI71References"/>
        <w:numPr>
          <w:ilvl w:val="0"/>
          <w:numId w:val="1"/>
        </w:numPr>
        <w:ind w:left="425" w:hanging="425"/>
        <w:rPr>
          <w:lang w:val="en-GB"/>
        </w:rPr>
      </w:pPr>
      <w:bookmarkStart w:id="38" w:name="_Ref82099679"/>
      <w:r w:rsidRPr="00FB5D9D">
        <w:rPr>
          <w:lang w:val="en-GB"/>
        </w:rPr>
        <w:t>Van Lenthe, E.; Baerends, E.J.; Snijders, J.G.</w:t>
      </w:r>
      <w:r w:rsidRPr="00FB5D9D">
        <w:t xml:space="preserve"> </w:t>
      </w:r>
      <w:r w:rsidRPr="00FB5D9D">
        <w:rPr>
          <w:lang w:val="en-GB"/>
        </w:rPr>
        <w:t xml:space="preserve">Relativistic regular two‐component Hamiltonians. </w:t>
      </w:r>
      <w:r w:rsidRPr="00FB5D9D">
        <w:rPr>
          <w:i/>
          <w:iCs/>
          <w:lang w:val="en-GB"/>
        </w:rPr>
        <w:t>J. Chem. Phys</w:t>
      </w:r>
      <w:r w:rsidRPr="00FB5D9D">
        <w:rPr>
          <w:lang w:val="en-GB"/>
        </w:rPr>
        <w:t xml:space="preserve">. </w:t>
      </w:r>
      <w:r w:rsidRPr="00FB5D9D">
        <w:rPr>
          <w:b/>
          <w:bCs/>
          <w:lang w:val="en-GB"/>
        </w:rPr>
        <w:t>1993</w:t>
      </w:r>
      <w:r w:rsidRPr="00FB5D9D">
        <w:rPr>
          <w:lang w:val="en-GB"/>
        </w:rPr>
        <w:t xml:space="preserve">, </w:t>
      </w:r>
      <w:r w:rsidRPr="00FB5D9D">
        <w:rPr>
          <w:i/>
          <w:iCs/>
          <w:lang w:val="en-GB"/>
        </w:rPr>
        <w:t>99</w:t>
      </w:r>
      <w:r w:rsidRPr="00FB5D9D">
        <w:rPr>
          <w:lang w:val="en-GB"/>
        </w:rPr>
        <w:t>, 4597–4610</w:t>
      </w:r>
      <w:bookmarkEnd w:id="38"/>
      <w:r w:rsidRPr="00FB5D9D">
        <w:rPr>
          <w:lang w:val="en-GB"/>
        </w:rPr>
        <w:t>.</w:t>
      </w:r>
      <w:r w:rsidRPr="00FB5D9D">
        <w:rPr>
          <w:lang w:val="en-GB"/>
        </w:rPr>
        <w:tab/>
      </w:r>
    </w:p>
    <w:p w:rsidR="00FB5D9D" w:rsidRPr="00FB5D9D" w:rsidRDefault="00FB5D9D" w:rsidP="00FB5D9D">
      <w:pPr>
        <w:pStyle w:val="MDPI71References"/>
        <w:numPr>
          <w:ilvl w:val="0"/>
          <w:numId w:val="1"/>
        </w:numPr>
        <w:ind w:left="425" w:hanging="425"/>
        <w:rPr>
          <w:lang w:val="en-GB"/>
        </w:rPr>
      </w:pPr>
      <w:bookmarkStart w:id="39" w:name="_Ref82113004"/>
      <w:r w:rsidRPr="00FB5D9D">
        <w:rPr>
          <w:lang w:val="en-GB"/>
        </w:rPr>
        <w:t xml:space="preserve">Perdew, J.P. Density-functional approximation for the correlation energy of the inhomogeneous electron gas. </w:t>
      </w:r>
      <w:r w:rsidRPr="00FB5D9D">
        <w:rPr>
          <w:i/>
          <w:iCs/>
          <w:lang w:val="en-GB"/>
        </w:rPr>
        <w:t>Phys. Rev. B</w:t>
      </w:r>
      <w:r w:rsidRPr="00FB5D9D">
        <w:rPr>
          <w:lang w:val="en-GB"/>
        </w:rPr>
        <w:t xml:space="preserve"> </w:t>
      </w:r>
      <w:r w:rsidRPr="00FB5D9D">
        <w:rPr>
          <w:b/>
          <w:bCs/>
          <w:lang w:val="en-GB"/>
        </w:rPr>
        <w:t>1986</w:t>
      </w:r>
      <w:r w:rsidRPr="00FB5D9D">
        <w:rPr>
          <w:lang w:val="en-GB"/>
        </w:rPr>
        <w:t xml:space="preserve">, </w:t>
      </w:r>
      <w:r w:rsidRPr="00FB5D9D">
        <w:rPr>
          <w:i/>
          <w:iCs/>
          <w:lang w:val="en-GB"/>
        </w:rPr>
        <w:t>33</w:t>
      </w:r>
      <w:r w:rsidRPr="00FB5D9D">
        <w:rPr>
          <w:lang w:val="en-GB"/>
        </w:rPr>
        <w:t>, 8822–8824.</w:t>
      </w:r>
      <w:bookmarkEnd w:id="39"/>
    </w:p>
    <w:p w:rsidR="00FB5D9D" w:rsidRPr="00FB5D9D" w:rsidRDefault="00FB5D9D" w:rsidP="00FB5D9D">
      <w:pPr>
        <w:pStyle w:val="MDPI71References"/>
        <w:numPr>
          <w:ilvl w:val="0"/>
          <w:numId w:val="1"/>
        </w:numPr>
        <w:ind w:left="425" w:hanging="425"/>
        <w:rPr>
          <w:lang w:val="en-GB"/>
        </w:rPr>
      </w:pPr>
      <w:bookmarkStart w:id="40" w:name="_Ref82113005"/>
      <w:r w:rsidRPr="00FB5D9D">
        <w:rPr>
          <w:lang w:val="en-GB"/>
        </w:rPr>
        <w:t>Becke, A.D.</w:t>
      </w:r>
      <w:r w:rsidRPr="00FB5D9D">
        <w:t xml:space="preserve"> </w:t>
      </w:r>
      <w:r w:rsidRPr="00FB5D9D">
        <w:rPr>
          <w:lang w:val="en-GB"/>
        </w:rPr>
        <w:t xml:space="preserve">Density-functional exchange-energy approximation with correct asymptotic behavior. </w:t>
      </w:r>
      <w:r w:rsidRPr="00FB5D9D">
        <w:rPr>
          <w:i/>
          <w:iCs/>
          <w:lang w:val="en-GB"/>
        </w:rPr>
        <w:t>Phys. Rev. A</w:t>
      </w:r>
      <w:r w:rsidRPr="00FB5D9D">
        <w:rPr>
          <w:lang w:val="en-GB"/>
        </w:rPr>
        <w:t xml:space="preserve"> </w:t>
      </w:r>
      <w:r w:rsidRPr="00FB5D9D">
        <w:rPr>
          <w:b/>
          <w:bCs/>
          <w:lang w:val="en-GB"/>
        </w:rPr>
        <w:t>1988</w:t>
      </w:r>
      <w:r w:rsidRPr="00FB5D9D">
        <w:rPr>
          <w:lang w:val="en-GB"/>
        </w:rPr>
        <w:t xml:space="preserve">, </w:t>
      </w:r>
      <w:r w:rsidRPr="00FB5D9D">
        <w:rPr>
          <w:i/>
          <w:iCs/>
          <w:lang w:val="en-GB"/>
        </w:rPr>
        <w:t>38</w:t>
      </w:r>
      <w:r w:rsidRPr="00FB5D9D">
        <w:rPr>
          <w:lang w:val="en-GB"/>
        </w:rPr>
        <w:t>, 3098–3100.</w:t>
      </w:r>
      <w:bookmarkEnd w:id="40"/>
    </w:p>
    <w:p w:rsidR="00FB5D9D" w:rsidRPr="00FB5D9D" w:rsidRDefault="00FB5D9D" w:rsidP="00FB5D9D">
      <w:pPr>
        <w:pStyle w:val="MDPI71References"/>
        <w:numPr>
          <w:ilvl w:val="0"/>
          <w:numId w:val="1"/>
        </w:numPr>
        <w:ind w:left="425" w:hanging="425"/>
        <w:rPr>
          <w:lang w:val="en-GB"/>
        </w:rPr>
      </w:pPr>
      <w:bookmarkStart w:id="41" w:name="_Ref82113070"/>
      <w:r w:rsidRPr="00FB5D9D">
        <w:rPr>
          <w:lang w:val="en-GB"/>
        </w:rPr>
        <w:t xml:space="preserve">Van Lenthe, E.; Baerends, E.J. Optimized Slater-type basis sets for the elements 1–118. </w:t>
      </w:r>
      <w:r w:rsidRPr="00FB5D9D">
        <w:rPr>
          <w:i/>
          <w:iCs/>
          <w:lang w:val="en-GB"/>
        </w:rPr>
        <w:t>J. Comput. Chem.</w:t>
      </w:r>
      <w:r w:rsidRPr="00FB5D9D">
        <w:rPr>
          <w:lang w:val="en-GB"/>
        </w:rPr>
        <w:t xml:space="preserve"> </w:t>
      </w:r>
      <w:r w:rsidRPr="00FB5D9D">
        <w:rPr>
          <w:b/>
          <w:bCs/>
          <w:lang w:val="en-GB"/>
        </w:rPr>
        <w:t>2003</w:t>
      </w:r>
      <w:r w:rsidRPr="00FB5D9D">
        <w:rPr>
          <w:lang w:val="en-GB"/>
        </w:rPr>
        <w:t xml:space="preserve">, </w:t>
      </w:r>
      <w:r w:rsidRPr="00FB5D9D">
        <w:rPr>
          <w:i/>
          <w:iCs/>
          <w:lang w:val="en-GB"/>
        </w:rPr>
        <w:t>24</w:t>
      </w:r>
      <w:r w:rsidRPr="00FB5D9D">
        <w:rPr>
          <w:lang w:val="en-GB"/>
        </w:rPr>
        <w:t>, 1142–1156.</w:t>
      </w:r>
      <w:bookmarkEnd w:id="41"/>
    </w:p>
    <w:p w:rsidR="00FB5D9D" w:rsidRPr="00FB5D9D" w:rsidRDefault="00FB5D9D" w:rsidP="00FB5D9D">
      <w:pPr>
        <w:pStyle w:val="MDPI71References"/>
        <w:numPr>
          <w:ilvl w:val="0"/>
          <w:numId w:val="1"/>
        </w:numPr>
        <w:ind w:left="425" w:hanging="425"/>
        <w:rPr>
          <w:lang w:val="en-GB"/>
        </w:rPr>
      </w:pPr>
      <w:bookmarkStart w:id="42" w:name="_Ref82114003"/>
      <w:r w:rsidRPr="00FB5D9D">
        <w:rPr>
          <w:lang w:val="en-GB"/>
        </w:rPr>
        <w:t xml:space="preserve">Ziegler, T.; Rauk, A. On the calculation of bonding energies by the Hartree Fock Slater method. </w:t>
      </w:r>
      <w:r w:rsidRPr="00FB5D9D">
        <w:rPr>
          <w:i/>
          <w:lang w:val="en-GB"/>
        </w:rPr>
        <w:t>Theor. Chim. Acta</w:t>
      </w:r>
      <w:r w:rsidRPr="00FB5D9D">
        <w:rPr>
          <w:lang w:val="en-GB"/>
        </w:rPr>
        <w:t xml:space="preserve"> </w:t>
      </w:r>
      <w:r w:rsidRPr="00FB5D9D">
        <w:rPr>
          <w:b/>
          <w:lang w:val="en-GB"/>
        </w:rPr>
        <w:t>1977</w:t>
      </w:r>
      <w:r w:rsidRPr="00FB5D9D">
        <w:rPr>
          <w:lang w:val="en-GB"/>
        </w:rPr>
        <w:t xml:space="preserve">, </w:t>
      </w:r>
      <w:r w:rsidRPr="00FB5D9D">
        <w:rPr>
          <w:i/>
          <w:lang w:val="en-GB"/>
        </w:rPr>
        <w:t>46</w:t>
      </w:r>
      <w:r w:rsidRPr="00FB5D9D">
        <w:rPr>
          <w:lang w:val="en-GB"/>
        </w:rPr>
        <w:t>, 1–10</w:t>
      </w:r>
      <w:bookmarkEnd w:id="42"/>
      <w:r w:rsidRPr="00FB5D9D">
        <w:rPr>
          <w:lang w:val="en-GB"/>
        </w:rPr>
        <w:t>.</w:t>
      </w:r>
    </w:p>
    <w:p w:rsidR="00FB5D9D" w:rsidRPr="00FB5D9D" w:rsidRDefault="00FB5D9D" w:rsidP="00FB5D9D">
      <w:pPr>
        <w:pStyle w:val="MDPI71References"/>
        <w:numPr>
          <w:ilvl w:val="0"/>
          <w:numId w:val="1"/>
        </w:numPr>
        <w:ind w:left="425" w:hanging="425"/>
        <w:rPr>
          <w:lang w:val="en-GB"/>
        </w:rPr>
      </w:pPr>
      <w:bookmarkStart w:id="43" w:name="_Ref82114694"/>
      <w:r w:rsidRPr="00FB5D9D">
        <w:rPr>
          <w:lang w:val="en-GB"/>
        </w:rPr>
        <w:t xml:space="preserve">Casarin, M.; Forrer, D.; Garau, F.; Pandolfo, L.; Pettinari, C.; Vittadini, A. Density Functional Theory Study of the Binding Capability of Tris(pyrazol-1-yl)methane toward Cu(I) and Ag(I) Cations. </w:t>
      </w:r>
      <w:r w:rsidRPr="00FB5D9D">
        <w:rPr>
          <w:i/>
          <w:lang w:val="en-GB"/>
        </w:rPr>
        <w:t>J. Phys. Chem. A</w:t>
      </w:r>
      <w:r w:rsidRPr="00FB5D9D">
        <w:rPr>
          <w:lang w:val="en-GB"/>
        </w:rPr>
        <w:t xml:space="preserve"> </w:t>
      </w:r>
      <w:r w:rsidRPr="00FB5D9D">
        <w:rPr>
          <w:b/>
          <w:lang w:val="en-GB"/>
        </w:rPr>
        <w:t>2008</w:t>
      </w:r>
      <w:r w:rsidRPr="00FB5D9D">
        <w:rPr>
          <w:lang w:val="en-GB"/>
        </w:rPr>
        <w:t xml:space="preserve">, </w:t>
      </w:r>
      <w:r w:rsidRPr="00FB5D9D">
        <w:rPr>
          <w:i/>
          <w:lang w:val="en-GB"/>
        </w:rPr>
        <w:t>112</w:t>
      </w:r>
      <w:r w:rsidRPr="00FB5D9D">
        <w:rPr>
          <w:lang w:val="en-GB"/>
        </w:rPr>
        <w:t>, 6723-6731</w:t>
      </w:r>
      <w:bookmarkEnd w:id="43"/>
      <w:r w:rsidRPr="00FB5D9D">
        <w:rPr>
          <w:lang w:val="en-GB"/>
        </w:rPr>
        <w:t>.</w:t>
      </w:r>
      <w:bookmarkStart w:id="44" w:name="_Ref82151534"/>
    </w:p>
    <w:p w:rsidR="00FB5D9D" w:rsidRPr="00FB5D9D" w:rsidRDefault="00FB5D9D" w:rsidP="00FB5D9D">
      <w:pPr>
        <w:pStyle w:val="MDPI71References"/>
        <w:numPr>
          <w:ilvl w:val="0"/>
          <w:numId w:val="1"/>
        </w:numPr>
        <w:ind w:left="425" w:hanging="425"/>
        <w:rPr>
          <w:lang w:val="en-GB"/>
        </w:rPr>
      </w:pPr>
      <w:bookmarkStart w:id="45" w:name="_Ref87420351"/>
      <w:r w:rsidRPr="00FB5D9D">
        <w:rPr>
          <w:lang w:val="en-GB"/>
        </w:rPr>
        <w:t xml:space="preserve">Eaton, S.S.; Eaton, G.R. Magnetic susceptibility of porphyrins. </w:t>
      </w:r>
      <w:r w:rsidRPr="00FB5D9D">
        <w:rPr>
          <w:i/>
          <w:iCs/>
          <w:lang w:val="en-GB"/>
        </w:rPr>
        <w:t>Inorg. Chem</w:t>
      </w:r>
      <w:r w:rsidRPr="00FB5D9D">
        <w:rPr>
          <w:lang w:val="en-GB"/>
        </w:rPr>
        <w:t xml:space="preserve">. </w:t>
      </w:r>
      <w:r w:rsidRPr="00FB5D9D">
        <w:rPr>
          <w:b/>
          <w:bCs/>
          <w:lang w:val="en-GB"/>
        </w:rPr>
        <w:t>1980</w:t>
      </w:r>
      <w:r w:rsidRPr="00FB5D9D">
        <w:rPr>
          <w:lang w:val="en-GB"/>
        </w:rPr>
        <w:t xml:space="preserve">, </w:t>
      </w:r>
      <w:r w:rsidRPr="00FB5D9D">
        <w:rPr>
          <w:i/>
          <w:iCs/>
          <w:lang w:val="en-GB"/>
        </w:rPr>
        <w:t>19</w:t>
      </w:r>
      <w:r w:rsidRPr="00FB5D9D">
        <w:rPr>
          <w:lang w:val="en-GB"/>
        </w:rPr>
        <w:t>, 1095 – 1096.</w:t>
      </w:r>
      <w:bookmarkEnd w:id="45"/>
    </w:p>
    <w:p w:rsidR="00FB5D9D" w:rsidRPr="00FB5D9D" w:rsidRDefault="00FB5D9D" w:rsidP="00FB5D9D">
      <w:pPr>
        <w:pStyle w:val="MDPI71References"/>
        <w:numPr>
          <w:ilvl w:val="0"/>
          <w:numId w:val="1"/>
        </w:numPr>
        <w:ind w:left="425" w:hanging="425"/>
        <w:rPr>
          <w:lang w:val="en-GB"/>
        </w:rPr>
      </w:pPr>
      <w:bookmarkStart w:id="46" w:name="_Ref82152405"/>
      <w:bookmarkStart w:id="47" w:name="_Ref82151652"/>
      <w:bookmarkStart w:id="48" w:name="_Ref82158375"/>
      <w:bookmarkEnd w:id="44"/>
      <w:bookmarkEnd w:id="46"/>
      <w:r w:rsidRPr="00FB5D9D">
        <w:rPr>
          <w:lang w:val="en-GB"/>
        </w:rPr>
        <w:t xml:space="preserve">Douglas, B.E.; Hollingsworth, C.A. </w:t>
      </w:r>
      <w:r w:rsidRPr="00FB5D9D">
        <w:rPr>
          <w:i/>
          <w:lang w:val="en-GB"/>
        </w:rPr>
        <w:t>Symmetry in Bonding and Spectra, an Introduction</w:t>
      </w:r>
      <w:r w:rsidRPr="00FB5D9D">
        <w:rPr>
          <w:lang w:val="en-GB"/>
        </w:rPr>
        <w:t xml:space="preserve">; Academic Press: Orlando, FL, </w:t>
      </w:r>
      <w:r w:rsidRPr="00FB5D9D">
        <w:rPr>
          <w:b/>
          <w:lang w:val="en-GB"/>
        </w:rPr>
        <w:t>1985</w:t>
      </w:r>
      <w:bookmarkEnd w:id="47"/>
      <w:r w:rsidRPr="00FB5D9D">
        <w:rPr>
          <w:lang w:val="en-GB"/>
        </w:rPr>
        <w:t>.</w:t>
      </w:r>
      <w:bookmarkEnd w:id="48"/>
    </w:p>
    <w:p w:rsidR="00FB5D9D" w:rsidRPr="00FB5D9D" w:rsidRDefault="00FB5D9D" w:rsidP="00FB5D9D">
      <w:pPr>
        <w:pStyle w:val="MDPI71References"/>
        <w:numPr>
          <w:ilvl w:val="0"/>
          <w:numId w:val="1"/>
        </w:numPr>
        <w:ind w:left="425" w:hanging="425"/>
        <w:rPr>
          <w:lang w:val="en-GB"/>
        </w:rPr>
      </w:pPr>
      <w:bookmarkStart w:id="49" w:name="_Ref82152189"/>
      <w:r w:rsidRPr="00FB5D9D">
        <w:rPr>
          <w:lang w:val="en-GB"/>
        </w:rPr>
        <w:lastRenderedPageBreak/>
        <w:t>Li, J.; Schreckenbach, G.; Ziegler, T. A Reassessment of the First Metal—Carbonyl Dissociation Energy in M(CO)</w:t>
      </w:r>
      <w:r w:rsidRPr="00FB5D9D">
        <w:rPr>
          <w:vertAlign w:val="subscript"/>
          <w:lang w:val="en-GB"/>
        </w:rPr>
        <w:t>4</w:t>
      </w:r>
      <w:r w:rsidRPr="00FB5D9D">
        <w:rPr>
          <w:lang w:val="en-GB"/>
        </w:rPr>
        <w:t xml:space="preserve"> (M = Ni, Pd, Pt), M(CO)</w:t>
      </w:r>
      <w:r w:rsidRPr="00FB5D9D">
        <w:rPr>
          <w:vertAlign w:val="subscript"/>
          <w:lang w:val="en-GB"/>
        </w:rPr>
        <w:t>5</w:t>
      </w:r>
      <w:r w:rsidRPr="00FB5D9D">
        <w:rPr>
          <w:lang w:val="en-GB"/>
        </w:rPr>
        <w:t xml:space="preserve"> (M = Fe, Ru, Os), and M(CO)</w:t>
      </w:r>
      <w:r w:rsidRPr="00FB5D9D">
        <w:rPr>
          <w:vertAlign w:val="subscript"/>
          <w:lang w:val="en-GB"/>
        </w:rPr>
        <w:t>6</w:t>
      </w:r>
      <w:r w:rsidRPr="00FB5D9D">
        <w:rPr>
          <w:lang w:val="en-GB"/>
        </w:rPr>
        <w:t xml:space="preserve"> (M = Cr, Mo, W) by a Quasirelativistic Density Functional Method. </w:t>
      </w:r>
      <w:r w:rsidRPr="00FB5D9D">
        <w:rPr>
          <w:i/>
          <w:lang w:val="en-GB"/>
        </w:rPr>
        <w:t xml:space="preserve">J. Am. Chem. Soc. </w:t>
      </w:r>
      <w:r w:rsidRPr="00FB5D9D">
        <w:rPr>
          <w:b/>
          <w:lang w:val="en-GB"/>
        </w:rPr>
        <w:t>1995</w:t>
      </w:r>
      <w:r w:rsidRPr="00FB5D9D">
        <w:rPr>
          <w:lang w:val="en-GB"/>
        </w:rPr>
        <w:t xml:space="preserve">, </w:t>
      </w:r>
      <w:r w:rsidRPr="00FB5D9D">
        <w:rPr>
          <w:i/>
          <w:lang w:val="en-GB"/>
        </w:rPr>
        <w:t>117</w:t>
      </w:r>
      <w:r w:rsidRPr="00FB5D9D">
        <w:rPr>
          <w:lang w:val="en-GB"/>
        </w:rPr>
        <w:t>,</w:t>
      </w:r>
      <w:r w:rsidRPr="00FB5D9D">
        <w:rPr>
          <w:b/>
          <w:lang w:val="en-GB"/>
        </w:rPr>
        <w:t xml:space="preserve"> </w:t>
      </w:r>
      <w:r w:rsidRPr="00FB5D9D">
        <w:rPr>
          <w:lang w:val="en-GB"/>
        </w:rPr>
        <w:t>486-494.</w:t>
      </w:r>
      <w:bookmarkEnd w:id="49"/>
    </w:p>
    <w:p w:rsidR="00FB5D9D" w:rsidRPr="00FB5D9D" w:rsidRDefault="00FB5D9D" w:rsidP="00FB5D9D">
      <w:pPr>
        <w:pStyle w:val="MDPI71References"/>
        <w:numPr>
          <w:ilvl w:val="0"/>
          <w:numId w:val="1"/>
        </w:numPr>
        <w:ind w:left="425" w:hanging="425"/>
        <w:rPr>
          <w:lang w:val="en-GB"/>
        </w:rPr>
      </w:pPr>
      <w:bookmarkStart w:id="50" w:name="_Ref53411424"/>
      <w:r w:rsidRPr="00FB5D9D">
        <w:rPr>
          <w:color w:val="auto"/>
          <w:lang w:val="en-GB"/>
        </w:rPr>
        <w:t xml:space="preserve">Hirshfeld, F.L. Bonded-atom fragments for describing molecular charge densities. </w:t>
      </w:r>
      <w:r w:rsidRPr="00FB5D9D">
        <w:rPr>
          <w:i/>
          <w:color w:val="auto"/>
          <w:lang w:val="en-GB"/>
        </w:rPr>
        <w:t>Theor. Chim. Acta</w:t>
      </w:r>
      <w:r w:rsidRPr="00FB5D9D">
        <w:rPr>
          <w:color w:val="auto"/>
          <w:lang w:val="en-GB"/>
        </w:rPr>
        <w:t xml:space="preserve"> </w:t>
      </w:r>
      <w:r w:rsidRPr="00FB5D9D">
        <w:rPr>
          <w:b/>
          <w:bCs/>
          <w:color w:val="auto"/>
          <w:lang w:val="en-GB"/>
        </w:rPr>
        <w:t>1977</w:t>
      </w:r>
      <w:r w:rsidRPr="00FB5D9D">
        <w:rPr>
          <w:color w:val="auto"/>
          <w:lang w:val="en-GB"/>
        </w:rPr>
        <w:t xml:space="preserve">, </w:t>
      </w:r>
      <w:r w:rsidRPr="00FB5D9D">
        <w:rPr>
          <w:bCs/>
          <w:i/>
          <w:iCs/>
          <w:color w:val="auto"/>
          <w:lang w:val="en-GB"/>
        </w:rPr>
        <w:t>44</w:t>
      </w:r>
      <w:r w:rsidRPr="00FB5D9D">
        <w:rPr>
          <w:color w:val="auto"/>
          <w:lang w:val="en-GB"/>
        </w:rPr>
        <w:t>, 129-138.</w:t>
      </w:r>
      <w:bookmarkEnd w:id="50"/>
      <w:r w:rsidRPr="00FB5D9D">
        <w:rPr>
          <w:lang w:val="en-GB"/>
        </w:rPr>
        <w:t xml:space="preserve"> </w:t>
      </w:r>
    </w:p>
    <w:p w:rsidR="00FB5D9D" w:rsidRPr="00FB5D9D" w:rsidRDefault="00FB5D9D" w:rsidP="00FB5D9D">
      <w:pPr>
        <w:pStyle w:val="MDPI71References"/>
        <w:numPr>
          <w:ilvl w:val="0"/>
          <w:numId w:val="1"/>
        </w:numPr>
        <w:ind w:left="425" w:hanging="425"/>
        <w:rPr>
          <w:color w:val="auto"/>
          <w:lang w:val="en-GB"/>
        </w:rPr>
      </w:pPr>
      <w:bookmarkStart w:id="51" w:name="_Ref82155264"/>
      <w:bookmarkStart w:id="52" w:name="_Ref453506368"/>
      <w:r w:rsidRPr="00FB5D9D">
        <w:rPr>
          <w:color w:val="auto"/>
          <w:lang w:val="en-GB"/>
        </w:rPr>
        <w:t xml:space="preserve">Nalewajski, R.F.; Mrozek, J. Modified valence indices from the two-particle density matrix. </w:t>
      </w:r>
      <w:r w:rsidRPr="00FB5D9D">
        <w:rPr>
          <w:i/>
          <w:color w:val="auto"/>
          <w:lang w:val="en-GB"/>
        </w:rPr>
        <w:t>Int. J. Quantum Chem.</w:t>
      </w:r>
      <w:r w:rsidRPr="00FB5D9D">
        <w:rPr>
          <w:color w:val="auto"/>
          <w:lang w:val="en-GB"/>
        </w:rPr>
        <w:t xml:space="preserve"> </w:t>
      </w:r>
      <w:r w:rsidRPr="00FB5D9D">
        <w:rPr>
          <w:b/>
          <w:color w:val="auto"/>
          <w:lang w:val="en-GB"/>
        </w:rPr>
        <w:t>1994</w:t>
      </w:r>
      <w:r w:rsidRPr="00FB5D9D">
        <w:rPr>
          <w:color w:val="auto"/>
          <w:lang w:val="en-GB"/>
        </w:rPr>
        <w:t xml:space="preserve">, </w:t>
      </w:r>
      <w:r w:rsidRPr="00FB5D9D">
        <w:rPr>
          <w:i/>
          <w:color w:val="auto"/>
          <w:lang w:val="en-GB"/>
        </w:rPr>
        <w:t>51</w:t>
      </w:r>
      <w:r w:rsidRPr="00FB5D9D">
        <w:rPr>
          <w:color w:val="auto"/>
          <w:lang w:val="en-GB"/>
        </w:rPr>
        <w:t>, 187−200.</w:t>
      </w:r>
      <w:bookmarkEnd w:id="51"/>
    </w:p>
    <w:p w:rsidR="00FB5D9D" w:rsidRPr="00FB5D9D" w:rsidRDefault="00FB5D9D" w:rsidP="00FB5D9D">
      <w:pPr>
        <w:pStyle w:val="MDPI71References"/>
        <w:numPr>
          <w:ilvl w:val="0"/>
          <w:numId w:val="1"/>
        </w:numPr>
        <w:ind w:left="425" w:hanging="425"/>
        <w:rPr>
          <w:color w:val="auto"/>
          <w:lang w:val="en-GB"/>
        </w:rPr>
      </w:pPr>
      <w:r w:rsidRPr="00FB5D9D">
        <w:rPr>
          <w:color w:val="auto"/>
          <w:lang w:val="en-GB"/>
        </w:rPr>
        <w:t xml:space="preserve">Nalewajski, R.F.; Mrozek, J.; Formosinho, S.J.; Varandas, A.J.C. Quantum mechanical valence study of a bond-breaking−bond forming process in triatomic systems. </w:t>
      </w:r>
      <w:r w:rsidRPr="00FB5D9D">
        <w:rPr>
          <w:i/>
          <w:color w:val="auto"/>
          <w:lang w:val="en-GB"/>
        </w:rPr>
        <w:t>Int. J. Quantum Chem.</w:t>
      </w:r>
      <w:r w:rsidRPr="00FB5D9D">
        <w:rPr>
          <w:color w:val="auto"/>
          <w:lang w:val="en-GB"/>
        </w:rPr>
        <w:t xml:space="preserve"> </w:t>
      </w:r>
      <w:r w:rsidRPr="00FB5D9D">
        <w:rPr>
          <w:b/>
          <w:color w:val="auto"/>
          <w:lang w:val="en-GB"/>
        </w:rPr>
        <w:t>1994</w:t>
      </w:r>
      <w:r w:rsidRPr="00FB5D9D">
        <w:rPr>
          <w:color w:val="auto"/>
          <w:lang w:val="en-GB"/>
        </w:rPr>
        <w:t xml:space="preserve">, </w:t>
      </w:r>
      <w:r w:rsidRPr="00FB5D9D">
        <w:rPr>
          <w:i/>
          <w:color w:val="auto"/>
          <w:lang w:val="en-GB"/>
        </w:rPr>
        <w:t>52</w:t>
      </w:r>
      <w:r w:rsidRPr="00FB5D9D">
        <w:rPr>
          <w:color w:val="auto"/>
          <w:lang w:val="en-GB"/>
        </w:rPr>
        <w:t>, 1153−1176.</w:t>
      </w:r>
    </w:p>
    <w:p w:rsidR="00FB5D9D" w:rsidRPr="00FB5D9D" w:rsidRDefault="00FB5D9D" w:rsidP="00FB5D9D">
      <w:pPr>
        <w:pStyle w:val="MDPI71References"/>
        <w:numPr>
          <w:ilvl w:val="0"/>
          <w:numId w:val="1"/>
        </w:numPr>
        <w:ind w:left="425" w:hanging="425"/>
        <w:rPr>
          <w:color w:val="auto"/>
          <w:lang w:val="en-GB"/>
        </w:rPr>
      </w:pPr>
      <w:r w:rsidRPr="00FB5D9D">
        <w:rPr>
          <w:color w:val="auto"/>
          <w:lang w:val="en-GB"/>
        </w:rPr>
        <w:t xml:space="preserve">Nalewajski, R.F.; Mrozek, J. Hartree-Fock difference approach to chemical valence: Three-electron indices in UHF approximation. </w:t>
      </w:r>
      <w:r w:rsidRPr="00FB5D9D">
        <w:rPr>
          <w:i/>
          <w:color w:val="auto"/>
          <w:lang w:val="en-GB"/>
        </w:rPr>
        <w:t>Int. J. Quantum Chem.</w:t>
      </w:r>
      <w:r w:rsidRPr="00FB5D9D">
        <w:rPr>
          <w:color w:val="auto"/>
          <w:lang w:val="en-GB"/>
        </w:rPr>
        <w:t xml:space="preserve"> </w:t>
      </w:r>
      <w:r w:rsidRPr="00FB5D9D">
        <w:rPr>
          <w:b/>
          <w:color w:val="auto"/>
          <w:lang w:val="en-GB"/>
        </w:rPr>
        <w:t>1996</w:t>
      </w:r>
      <w:r w:rsidRPr="00FB5D9D">
        <w:rPr>
          <w:color w:val="auto"/>
          <w:lang w:val="en-GB"/>
        </w:rPr>
        <w:t xml:space="preserve">, </w:t>
      </w:r>
      <w:r w:rsidRPr="00FB5D9D">
        <w:rPr>
          <w:i/>
          <w:color w:val="auto"/>
          <w:lang w:val="en-GB"/>
        </w:rPr>
        <w:t>57</w:t>
      </w:r>
      <w:r w:rsidRPr="00FB5D9D">
        <w:rPr>
          <w:color w:val="auto"/>
          <w:lang w:val="en-GB"/>
        </w:rPr>
        <w:t>, 377−389,</w:t>
      </w:r>
    </w:p>
    <w:p w:rsidR="00FB5D9D" w:rsidRPr="00FB5D9D" w:rsidRDefault="00FB5D9D" w:rsidP="00FB5D9D">
      <w:pPr>
        <w:pStyle w:val="MDPI71References"/>
        <w:numPr>
          <w:ilvl w:val="0"/>
          <w:numId w:val="1"/>
        </w:numPr>
        <w:ind w:left="425" w:hanging="425"/>
        <w:rPr>
          <w:color w:val="auto"/>
          <w:lang w:val="en-GB"/>
        </w:rPr>
      </w:pPr>
      <w:r w:rsidRPr="00FB5D9D">
        <w:rPr>
          <w:color w:val="auto"/>
          <w:lang w:val="en-GB"/>
        </w:rPr>
        <w:t xml:space="preserve">Nalewajski, R.F.; Mrozek, J.; Mazur, G. Quantum chemical valence indices from the one-determinantal difference approach. </w:t>
      </w:r>
      <w:r w:rsidRPr="00FB5D9D">
        <w:rPr>
          <w:i/>
          <w:color w:val="auto"/>
          <w:lang w:val="en-GB"/>
        </w:rPr>
        <w:t>Can. J. Chem.</w:t>
      </w:r>
      <w:r w:rsidRPr="00FB5D9D">
        <w:rPr>
          <w:color w:val="auto"/>
          <w:lang w:val="en-GB"/>
        </w:rPr>
        <w:t xml:space="preserve"> </w:t>
      </w:r>
      <w:r w:rsidRPr="00FB5D9D">
        <w:rPr>
          <w:b/>
          <w:color w:val="auto"/>
          <w:lang w:val="en-GB"/>
        </w:rPr>
        <w:t>1996</w:t>
      </w:r>
      <w:r w:rsidRPr="00FB5D9D">
        <w:rPr>
          <w:color w:val="auto"/>
          <w:lang w:val="en-GB"/>
        </w:rPr>
        <w:t xml:space="preserve">, </w:t>
      </w:r>
      <w:r w:rsidRPr="00FB5D9D">
        <w:rPr>
          <w:i/>
          <w:color w:val="auto"/>
          <w:lang w:val="en-GB"/>
        </w:rPr>
        <w:t>74</w:t>
      </w:r>
      <w:r w:rsidRPr="00FB5D9D">
        <w:rPr>
          <w:color w:val="auto"/>
          <w:lang w:val="en-GB"/>
        </w:rPr>
        <w:t>, 1121−1130,</w:t>
      </w:r>
    </w:p>
    <w:p w:rsidR="00FB5D9D" w:rsidRPr="00FB5D9D" w:rsidRDefault="00FB5D9D" w:rsidP="00FB5D9D">
      <w:pPr>
        <w:pStyle w:val="MDPI71References"/>
        <w:numPr>
          <w:ilvl w:val="0"/>
          <w:numId w:val="1"/>
        </w:numPr>
        <w:ind w:left="425" w:hanging="425"/>
        <w:rPr>
          <w:color w:val="auto"/>
          <w:lang w:val="en-GB"/>
        </w:rPr>
      </w:pPr>
      <w:r w:rsidRPr="00FB5D9D">
        <w:rPr>
          <w:color w:val="auto"/>
          <w:lang w:val="en-GB"/>
        </w:rPr>
        <w:t xml:space="preserve">Nalewajski, R.F.; Mrozek, J.; Michalak, A. Two-electron valence indices from the Kohn-Sham orbitals. </w:t>
      </w:r>
      <w:r w:rsidRPr="00FB5D9D">
        <w:rPr>
          <w:i/>
          <w:color w:val="auto"/>
          <w:lang w:val="en-GB"/>
        </w:rPr>
        <w:t>Int. J. Quantum Chem.</w:t>
      </w:r>
      <w:r w:rsidRPr="00FB5D9D">
        <w:rPr>
          <w:color w:val="auto"/>
          <w:lang w:val="en-GB"/>
        </w:rPr>
        <w:t xml:space="preserve"> </w:t>
      </w:r>
      <w:r w:rsidRPr="00FB5D9D">
        <w:rPr>
          <w:b/>
          <w:color w:val="auto"/>
          <w:lang w:val="en-GB"/>
        </w:rPr>
        <w:t>1997</w:t>
      </w:r>
      <w:r w:rsidRPr="00FB5D9D">
        <w:rPr>
          <w:color w:val="auto"/>
          <w:lang w:val="en-GB"/>
        </w:rPr>
        <w:t xml:space="preserve">, </w:t>
      </w:r>
      <w:r w:rsidRPr="00FB5D9D">
        <w:rPr>
          <w:i/>
          <w:color w:val="auto"/>
          <w:lang w:val="en-GB"/>
        </w:rPr>
        <w:t>61</w:t>
      </w:r>
      <w:r w:rsidRPr="00FB5D9D">
        <w:rPr>
          <w:color w:val="auto"/>
          <w:lang w:val="en-GB"/>
        </w:rPr>
        <w:t>, 589−601.</w:t>
      </w:r>
    </w:p>
    <w:p w:rsidR="00FB5D9D" w:rsidRPr="00FB5D9D" w:rsidRDefault="00FB5D9D" w:rsidP="00FB5D9D">
      <w:pPr>
        <w:pStyle w:val="MDPI71References"/>
        <w:numPr>
          <w:ilvl w:val="0"/>
          <w:numId w:val="1"/>
        </w:numPr>
        <w:ind w:left="425" w:hanging="425"/>
        <w:rPr>
          <w:color w:val="auto"/>
          <w:lang w:val="en-GB"/>
        </w:rPr>
      </w:pPr>
      <w:r w:rsidRPr="00FB5D9D">
        <w:rPr>
          <w:color w:val="auto"/>
          <w:lang w:val="en-GB"/>
        </w:rPr>
        <w:t xml:space="preserve">Nalewajski, R.F.; Mrozek, J.; Michalak, A. Exploring bonding patterns of molecular systems using quantum mechanical bond multiplicities. </w:t>
      </w:r>
      <w:r w:rsidRPr="00FB5D9D">
        <w:rPr>
          <w:i/>
          <w:color w:val="auto"/>
          <w:lang w:val="en-GB"/>
        </w:rPr>
        <w:t>Polym. J. Chem.</w:t>
      </w:r>
      <w:r w:rsidRPr="00FB5D9D">
        <w:rPr>
          <w:color w:val="auto"/>
          <w:lang w:val="en-GB"/>
        </w:rPr>
        <w:t xml:space="preserve"> </w:t>
      </w:r>
      <w:r w:rsidRPr="00FB5D9D">
        <w:rPr>
          <w:b/>
          <w:color w:val="auto"/>
          <w:lang w:val="en-GB"/>
        </w:rPr>
        <w:t>1998</w:t>
      </w:r>
      <w:r w:rsidRPr="00FB5D9D">
        <w:rPr>
          <w:color w:val="auto"/>
          <w:lang w:val="en-GB"/>
        </w:rPr>
        <w:t xml:space="preserve">, </w:t>
      </w:r>
      <w:r w:rsidRPr="00FB5D9D">
        <w:rPr>
          <w:i/>
          <w:color w:val="auto"/>
          <w:lang w:val="en-GB"/>
        </w:rPr>
        <w:t>72</w:t>
      </w:r>
      <w:r w:rsidRPr="00FB5D9D">
        <w:rPr>
          <w:color w:val="auto"/>
          <w:lang w:val="en-GB"/>
        </w:rPr>
        <w:t>, 1779−1791.</w:t>
      </w:r>
    </w:p>
    <w:p w:rsidR="00FB5D9D" w:rsidRPr="00FB5D9D" w:rsidRDefault="00FB5D9D" w:rsidP="00FB5D9D">
      <w:pPr>
        <w:pStyle w:val="MDPI71References"/>
        <w:numPr>
          <w:ilvl w:val="0"/>
          <w:numId w:val="1"/>
        </w:numPr>
        <w:ind w:left="425" w:hanging="425"/>
        <w:rPr>
          <w:color w:val="auto"/>
          <w:lang w:val="en-GB"/>
        </w:rPr>
      </w:pPr>
      <w:bookmarkStart w:id="53" w:name="_Ref82155266"/>
      <w:r w:rsidRPr="00FB5D9D">
        <w:rPr>
          <w:color w:val="auto"/>
          <w:lang w:val="en-GB"/>
        </w:rPr>
        <w:t xml:space="preserve">Michalak, A.; DeKock, R.L.; Ziegler, T. Bond Multiplicity in Transition-Metal Complexes: Applications of Two-Electron Valence Indices. </w:t>
      </w:r>
      <w:r w:rsidRPr="00FB5D9D">
        <w:rPr>
          <w:i/>
          <w:color w:val="auto"/>
          <w:lang w:val="en-GB"/>
        </w:rPr>
        <w:t>J. Phys. Chem. A</w:t>
      </w:r>
      <w:r w:rsidRPr="00FB5D9D">
        <w:rPr>
          <w:color w:val="auto"/>
          <w:lang w:val="en-GB"/>
        </w:rPr>
        <w:t xml:space="preserve"> </w:t>
      </w:r>
      <w:r w:rsidRPr="00FB5D9D">
        <w:rPr>
          <w:b/>
          <w:color w:val="auto"/>
          <w:lang w:val="en-GB"/>
        </w:rPr>
        <w:t>2008</w:t>
      </w:r>
      <w:r w:rsidRPr="00FB5D9D">
        <w:rPr>
          <w:color w:val="auto"/>
          <w:lang w:val="en-GB"/>
        </w:rPr>
        <w:t xml:space="preserve">, </w:t>
      </w:r>
      <w:r w:rsidRPr="00FB5D9D">
        <w:rPr>
          <w:i/>
          <w:color w:val="auto"/>
          <w:lang w:val="en-GB"/>
        </w:rPr>
        <w:t>112</w:t>
      </w:r>
      <w:r w:rsidRPr="00FB5D9D">
        <w:rPr>
          <w:color w:val="auto"/>
          <w:lang w:val="en-GB"/>
        </w:rPr>
        <w:t>, 7256−7263.</w:t>
      </w:r>
      <w:bookmarkEnd w:id="52"/>
      <w:bookmarkEnd w:id="53"/>
    </w:p>
    <w:p w:rsidR="00FB5D9D" w:rsidRPr="00FB5D9D" w:rsidRDefault="00FB5D9D" w:rsidP="00FB5D9D">
      <w:pPr>
        <w:pStyle w:val="MDPI71References"/>
        <w:numPr>
          <w:ilvl w:val="0"/>
          <w:numId w:val="1"/>
        </w:numPr>
        <w:ind w:left="425" w:hanging="425"/>
        <w:rPr>
          <w:lang w:val="en-GB"/>
        </w:rPr>
      </w:pPr>
      <w:bookmarkStart w:id="54" w:name="_Ref82159255"/>
      <w:r w:rsidRPr="00FB5D9D">
        <w:rPr>
          <w:lang w:val="en-GB"/>
        </w:rPr>
        <w:t>Haller, K.J.; Enemark, J.H. Structural Chemistry of the {CoNO}</w:t>
      </w:r>
      <w:r w:rsidRPr="00FB5D9D">
        <w:rPr>
          <w:vertAlign w:val="superscript"/>
          <w:lang w:val="en-GB"/>
        </w:rPr>
        <w:t>8</w:t>
      </w:r>
      <w:r w:rsidRPr="00FB5D9D">
        <w:rPr>
          <w:lang w:val="en-GB"/>
        </w:rPr>
        <w:t xml:space="preserve"> Group. III.* The Structure of </w:t>
      </w:r>
      <w:r w:rsidRPr="00FB5D9D">
        <w:rPr>
          <w:i/>
          <w:lang w:val="en-GB"/>
        </w:rPr>
        <w:t>N</w:t>
      </w:r>
      <w:r w:rsidRPr="00FB5D9D">
        <w:rPr>
          <w:lang w:val="en-GB"/>
        </w:rPr>
        <w:t>,</w:t>
      </w:r>
      <w:r w:rsidRPr="00FB5D9D">
        <w:rPr>
          <w:i/>
          <w:lang w:val="en-GB"/>
        </w:rPr>
        <w:t>N</w:t>
      </w:r>
      <w:r w:rsidRPr="00FB5D9D">
        <w:rPr>
          <w:lang w:val="en-GB"/>
        </w:rPr>
        <w:t xml:space="preserve">'-Ethylenebis(salicylideneiminato) nitrosylcobalt(ll), Co(NO)(Salen). </w:t>
      </w:r>
      <w:r w:rsidRPr="00FB5D9D">
        <w:rPr>
          <w:i/>
          <w:lang w:val="en-GB"/>
        </w:rPr>
        <w:t>Acta Cryst.</w:t>
      </w:r>
      <w:r w:rsidRPr="00FB5D9D">
        <w:rPr>
          <w:lang w:val="en-GB"/>
        </w:rPr>
        <w:t xml:space="preserve"> </w:t>
      </w:r>
      <w:r w:rsidRPr="00FB5D9D">
        <w:rPr>
          <w:b/>
          <w:lang w:val="en-GB"/>
        </w:rPr>
        <w:t>1978</w:t>
      </w:r>
      <w:r w:rsidRPr="00FB5D9D">
        <w:rPr>
          <w:lang w:val="en-GB"/>
        </w:rPr>
        <w:t xml:space="preserve">, </w:t>
      </w:r>
      <w:r w:rsidRPr="00FB5D9D">
        <w:rPr>
          <w:i/>
          <w:lang w:val="en-GB"/>
        </w:rPr>
        <w:t>B34</w:t>
      </w:r>
      <w:r w:rsidRPr="00FB5D9D">
        <w:rPr>
          <w:lang w:val="en-GB"/>
        </w:rPr>
        <w:t>, 102-109.</w:t>
      </w:r>
      <w:bookmarkEnd w:id="54"/>
    </w:p>
    <w:p w:rsidR="00FB5D9D" w:rsidRPr="00FB5D9D" w:rsidRDefault="00FB5D9D" w:rsidP="00FB5D9D">
      <w:pPr>
        <w:pStyle w:val="MDPI71References"/>
        <w:numPr>
          <w:ilvl w:val="0"/>
          <w:numId w:val="1"/>
        </w:numPr>
        <w:ind w:left="425" w:hanging="425"/>
        <w:rPr>
          <w:lang w:val="en-GB"/>
        </w:rPr>
      </w:pPr>
      <w:bookmarkStart w:id="55" w:name="_Ref82265865"/>
      <w:r w:rsidRPr="00FB5D9D">
        <w:rPr>
          <w:lang w:val="en-GB"/>
        </w:rPr>
        <w:t xml:space="preserve">Kim, H.; Chang, Y.H.; Lee, S.-H.; Lim, S.; Noh, S.-K.; Kim, Y.-H.; Kahng, S.-J. Visualizing tilted binding and precession of diatomic NO adsorbed to Co-porphyrin on Au(111) using scanning tunneling microscopy. </w:t>
      </w:r>
      <w:r w:rsidRPr="00FB5D9D">
        <w:rPr>
          <w:i/>
          <w:lang w:val="en-GB"/>
        </w:rPr>
        <w:t>Chem. Sci.</w:t>
      </w:r>
      <w:r w:rsidRPr="00FB5D9D">
        <w:rPr>
          <w:lang w:val="en-GB"/>
        </w:rPr>
        <w:t xml:space="preserve"> </w:t>
      </w:r>
      <w:r w:rsidRPr="00FB5D9D">
        <w:rPr>
          <w:b/>
          <w:lang w:val="en-GB"/>
        </w:rPr>
        <w:t>2014</w:t>
      </w:r>
      <w:r w:rsidRPr="00FB5D9D">
        <w:rPr>
          <w:lang w:val="en-GB"/>
        </w:rPr>
        <w:t xml:space="preserve">, </w:t>
      </w:r>
      <w:r w:rsidRPr="00FB5D9D">
        <w:rPr>
          <w:i/>
          <w:lang w:val="en-GB"/>
        </w:rPr>
        <w:t>5</w:t>
      </w:r>
      <w:r w:rsidRPr="00FB5D9D">
        <w:rPr>
          <w:lang w:val="en-GB"/>
        </w:rPr>
        <w:t>, 2224-2229.</w:t>
      </w:r>
      <w:bookmarkEnd w:id="55"/>
    </w:p>
    <w:p w:rsidR="00FB5D9D" w:rsidRPr="00FB5D9D" w:rsidRDefault="00FB5D9D" w:rsidP="00FB5D9D">
      <w:pPr>
        <w:pStyle w:val="MDPI71References"/>
        <w:numPr>
          <w:ilvl w:val="0"/>
          <w:numId w:val="1"/>
        </w:numPr>
        <w:ind w:left="425" w:hanging="425"/>
        <w:rPr>
          <w:lang w:val="en-GB"/>
        </w:rPr>
      </w:pPr>
      <w:bookmarkStart w:id="56" w:name="_Ref82266180"/>
      <w:r w:rsidRPr="00FB5D9D">
        <w:rPr>
          <w:lang w:val="en-GB"/>
        </w:rPr>
        <w:t xml:space="preserve">Rousseau, R.; Ozarowski, A.; Aroca, R.; Soares II, L. de A.; Trsic, M. The electronic structure of metalated phthalocyanine-NO2 adducts. </w:t>
      </w:r>
      <w:r w:rsidRPr="00FB5D9D">
        <w:rPr>
          <w:i/>
          <w:lang w:val="en-GB"/>
        </w:rPr>
        <w:t>J. Mol. Struct.</w:t>
      </w:r>
      <w:r w:rsidRPr="00FB5D9D">
        <w:rPr>
          <w:lang w:val="en-GB"/>
        </w:rPr>
        <w:t xml:space="preserve"> </w:t>
      </w:r>
      <w:r w:rsidRPr="00FB5D9D">
        <w:rPr>
          <w:b/>
          <w:lang w:val="en-GB"/>
        </w:rPr>
        <w:t>1994</w:t>
      </w:r>
      <w:r w:rsidRPr="00FB5D9D">
        <w:rPr>
          <w:lang w:val="en-GB"/>
        </w:rPr>
        <w:t xml:space="preserve">, </w:t>
      </w:r>
      <w:r w:rsidRPr="00FB5D9D">
        <w:rPr>
          <w:i/>
          <w:lang w:val="en-GB"/>
        </w:rPr>
        <w:t>317</w:t>
      </w:r>
      <w:r w:rsidRPr="00FB5D9D">
        <w:rPr>
          <w:lang w:val="en-GB"/>
        </w:rPr>
        <w:t>, 287-297.</w:t>
      </w:r>
      <w:bookmarkEnd w:id="56"/>
    </w:p>
    <w:p w:rsidR="00FB5D9D" w:rsidRPr="00FB5D9D" w:rsidRDefault="00FB5D9D" w:rsidP="00FB5D9D">
      <w:pPr>
        <w:pStyle w:val="MDPI71References"/>
        <w:numPr>
          <w:ilvl w:val="0"/>
          <w:numId w:val="1"/>
        </w:numPr>
        <w:ind w:left="425" w:hanging="425"/>
        <w:rPr>
          <w:lang w:val="en-GB"/>
        </w:rPr>
      </w:pPr>
      <w:bookmarkStart w:id="57" w:name="_Ref82329070"/>
      <w:bookmarkStart w:id="58" w:name="_Ref82330914"/>
      <w:bookmarkStart w:id="59" w:name="_Ref82328626"/>
      <w:r w:rsidRPr="00FB5D9D">
        <w:rPr>
          <w:lang w:val="en-GB"/>
        </w:rPr>
        <w:t xml:space="preserve">Greenwood, N.N.; Earnshaw, A. </w:t>
      </w:r>
      <w:r w:rsidRPr="00FB5D9D">
        <w:rPr>
          <w:i/>
          <w:lang w:val="en-GB"/>
        </w:rPr>
        <w:t>Chemistry of the Elements</w:t>
      </w:r>
      <w:r w:rsidRPr="00FB5D9D">
        <w:rPr>
          <w:lang w:val="en-GB"/>
        </w:rPr>
        <w:t xml:space="preserve">, Butterworth-Heinemann, Cambridge, 2nd edn, </w:t>
      </w:r>
      <w:r w:rsidRPr="00FB5D9D">
        <w:rPr>
          <w:b/>
          <w:lang w:val="en-GB"/>
        </w:rPr>
        <w:t>19</w:t>
      </w:r>
      <w:bookmarkEnd w:id="57"/>
      <w:r w:rsidRPr="00FB5D9D">
        <w:rPr>
          <w:b/>
          <w:lang w:val="en-GB"/>
        </w:rPr>
        <w:t>98</w:t>
      </w:r>
      <w:r w:rsidRPr="00FB5D9D">
        <w:rPr>
          <w:lang w:val="en-GB"/>
        </w:rPr>
        <w:t>.</w:t>
      </w:r>
      <w:bookmarkEnd w:id="58"/>
    </w:p>
    <w:p w:rsidR="00FB5D9D" w:rsidRPr="00FB5D9D" w:rsidRDefault="00FB5D9D" w:rsidP="00FB5D9D">
      <w:pPr>
        <w:pStyle w:val="MDPI71References"/>
        <w:numPr>
          <w:ilvl w:val="0"/>
          <w:numId w:val="1"/>
        </w:numPr>
        <w:ind w:left="425" w:hanging="425"/>
        <w:rPr>
          <w:lang w:val="en-GB"/>
        </w:rPr>
      </w:pPr>
      <w:bookmarkStart w:id="60" w:name="_Ref82612635"/>
      <w:r w:rsidRPr="00FB5D9D">
        <w:rPr>
          <w:lang w:val="en-GB"/>
        </w:rPr>
        <w:t>Sharafeldin, I.M.; Allam, N.K.</w:t>
      </w:r>
      <w:r w:rsidRPr="00FB5D9D">
        <w:t xml:space="preserve"> </w:t>
      </w:r>
      <w:r w:rsidRPr="00FB5D9D">
        <w:rPr>
          <w:lang w:val="en-GB"/>
        </w:rPr>
        <w:t>DFT insights into the electronic properties and adsorption of NO</w:t>
      </w:r>
      <w:r w:rsidRPr="00FB5D9D">
        <w:rPr>
          <w:vertAlign w:val="subscript"/>
          <w:lang w:val="en-GB"/>
        </w:rPr>
        <w:t>2</w:t>
      </w:r>
      <w:r w:rsidRPr="00FB5D9D">
        <w:rPr>
          <w:lang w:val="en-GB"/>
        </w:rPr>
        <w:t xml:space="preserve"> on metal-doped carbon nanotubes for gas sensing applications. </w:t>
      </w:r>
      <w:r w:rsidRPr="00FB5D9D">
        <w:rPr>
          <w:i/>
          <w:lang w:val="en-GB"/>
        </w:rPr>
        <w:t>New J. Chem.</w:t>
      </w:r>
      <w:r w:rsidRPr="00FB5D9D">
        <w:rPr>
          <w:lang w:val="en-GB"/>
        </w:rPr>
        <w:t xml:space="preserve"> </w:t>
      </w:r>
      <w:r w:rsidRPr="00FB5D9D">
        <w:rPr>
          <w:b/>
          <w:lang w:val="en-GB"/>
        </w:rPr>
        <w:t>2017</w:t>
      </w:r>
      <w:r w:rsidRPr="00FB5D9D">
        <w:rPr>
          <w:lang w:val="en-GB"/>
        </w:rPr>
        <w:t xml:space="preserve">, </w:t>
      </w:r>
      <w:r w:rsidRPr="00FB5D9D">
        <w:rPr>
          <w:i/>
          <w:lang w:val="en-GB"/>
        </w:rPr>
        <w:t>41</w:t>
      </w:r>
      <w:r w:rsidRPr="00FB5D9D">
        <w:rPr>
          <w:lang w:val="en-GB"/>
        </w:rPr>
        <w:t>, 14936–14944.</w:t>
      </w:r>
      <w:bookmarkEnd w:id="59"/>
      <w:bookmarkEnd w:id="60"/>
    </w:p>
    <w:p w:rsidR="00FB5D9D" w:rsidRPr="00FB5D9D" w:rsidRDefault="00FB5D9D" w:rsidP="00FB5D9D">
      <w:pPr>
        <w:pStyle w:val="MDPI71References"/>
        <w:numPr>
          <w:ilvl w:val="0"/>
          <w:numId w:val="1"/>
        </w:numPr>
        <w:ind w:left="425" w:hanging="425"/>
        <w:rPr>
          <w:lang w:val="en-GB"/>
        </w:rPr>
      </w:pPr>
      <w:bookmarkStart w:id="61" w:name="_Ref82329791"/>
      <w:r w:rsidRPr="00FB5D9D">
        <w:rPr>
          <w:lang w:val="en-GB"/>
        </w:rPr>
        <w:t xml:space="preserve">Rodley, G.A.; Robinson, W.T. Structure of a Monomeric Oxygen-carrying Complex. </w:t>
      </w:r>
      <w:r w:rsidRPr="00FB5D9D">
        <w:rPr>
          <w:i/>
          <w:lang w:val="en-GB"/>
        </w:rPr>
        <w:t>Nature</w:t>
      </w:r>
      <w:r w:rsidRPr="00FB5D9D">
        <w:rPr>
          <w:lang w:val="en-GB"/>
        </w:rPr>
        <w:t xml:space="preserve"> </w:t>
      </w:r>
      <w:r w:rsidRPr="00FB5D9D">
        <w:rPr>
          <w:b/>
          <w:lang w:val="en-GB"/>
        </w:rPr>
        <w:t>1972</w:t>
      </w:r>
      <w:r w:rsidRPr="00FB5D9D">
        <w:rPr>
          <w:lang w:val="en-GB"/>
        </w:rPr>
        <w:t xml:space="preserve">, </w:t>
      </w:r>
      <w:r w:rsidRPr="00FB5D9D">
        <w:rPr>
          <w:i/>
          <w:lang w:val="en-GB"/>
        </w:rPr>
        <w:t>235</w:t>
      </w:r>
      <w:r w:rsidRPr="00FB5D9D">
        <w:rPr>
          <w:lang w:val="en-GB"/>
        </w:rPr>
        <w:t>, 438</w:t>
      </w:r>
      <w:bookmarkEnd w:id="61"/>
      <w:r w:rsidRPr="00FB5D9D">
        <w:rPr>
          <w:lang w:val="en-GB"/>
        </w:rPr>
        <w:t>-439.</w:t>
      </w:r>
    </w:p>
    <w:p w:rsidR="00FB5D9D" w:rsidRPr="00FB5D9D" w:rsidRDefault="00FB5D9D" w:rsidP="00FB5D9D">
      <w:pPr>
        <w:pStyle w:val="MDPI71References"/>
        <w:numPr>
          <w:ilvl w:val="0"/>
          <w:numId w:val="1"/>
        </w:numPr>
        <w:ind w:left="425" w:hanging="425"/>
        <w:rPr>
          <w:lang w:val="en-GB"/>
        </w:rPr>
      </w:pPr>
      <w:r w:rsidRPr="00FB5D9D">
        <w:rPr>
          <w:lang w:val="en-GB"/>
        </w:rPr>
        <w:t xml:space="preserve">Melamud, E.; Silver, B.L.; Dori, Z. Electron Paramagnetic Resonance of Mononuclear Cobalt Oxygen Carriers Labeled with Oxygen-17. </w:t>
      </w:r>
      <w:r w:rsidRPr="00FB5D9D">
        <w:rPr>
          <w:i/>
          <w:lang w:val="en-GB"/>
        </w:rPr>
        <w:t>J. Am. Chem. Soc.</w:t>
      </w:r>
      <w:r w:rsidRPr="00FB5D9D">
        <w:rPr>
          <w:lang w:val="en-GB"/>
        </w:rPr>
        <w:t xml:space="preserve"> </w:t>
      </w:r>
      <w:r w:rsidRPr="00FB5D9D">
        <w:rPr>
          <w:b/>
          <w:lang w:val="en-GB"/>
        </w:rPr>
        <w:t>1974</w:t>
      </w:r>
      <w:r w:rsidRPr="00FB5D9D">
        <w:rPr>
          <w:lang w:val="en-GB"/>
        </w:rPr>
        <w:t xml:space="preserve">, </w:t>
      </w:r>
      <w:r w:rsidRPr="00FB5D9D">
        <w:rPr>
          <w:i/>
          <w:lang w:val="en-GB"/>
        </w:rPr>
        <w:t>96</w:t>
      </w:r>
      <w:r w:rsidRPr="00FB5D9D">
        <w:rPr>
          <w:lang w:val="en-GB"/>
        </w:rPr>
        <w:t>, 4690-4692.</w:t>
      </w:r>
    </w:p>
    <w:p w:rsidR="00FB5D9D" w:rsidRPr="00FB5D9D" w:rsidRDefault="00FB5D9D" w:rsidP="00FB5D9D">
      <w:pPr>
        <w:pStyle w:val="MDPI71References"/>
        <w:numPr>
          <w:ilvl w:val="0"/>
          <w:numId w:val="1"/>
        </w:numPr>
        <w:ind w:left="425" w:hanging="425"/>
        <w:rPr>
          <w:lang w:val="en-GB"/>
        </w:rPr>
      </w:pPr>
      <w:r w:rsidRPr="00FB5D9D">
        <w:rPr>
          <w:lang w:val="en-GB"/>
        </w:rPr>
        <w:t xml:space="preserve">Gall, R.S.; Rogers, J.F.; Schaefer, W.P.; Christoph, G.G. The structure of a monomeric oxygen carrying cobalt complex: dioxygen-N,N'-(1,1,2,2-tetramethyl)ethylenebis(3-tert-butylsalicylideniminato)(1-benzylimidazole)cobalt(II). </w:t>
      </w:r>
      <w:r w:rsidRPr="00FB5D9D">
        <w:rPr>
          <w:i/>
          <w:lang w:val="en-GB"/>
        </w:rPr>
        <w:t>J. Am. Chem. Soc.</w:t>
      </w:r>
      <w:r w:rsidRPr="00FB5D9D">
        <w:rPr>
          <w:lang w:val="en-GB"/>
        </w:rPr>
        <w:t xml:space="preserve"> </w:t>
      </w:r>
      <w:r w:rsidRPr="00FB5D9D">
        <w:rPr>
          <w:b/>
          <w:lang w:val="en-GB"/>
        </w:rPr>
        <w:t>1976</w:t>
      </w:r>
      <w:r w:rsidRPr="00FB5D9D">
        <w:rPr>
          <w:lang w:val="en-GB"/>
        </w:rPr>
        <w:t xml:space="preserve">, </w:t>
      </w:r>
      <w:r w:rsidRPr="00FB5D9D">
        <w:rPr>
          <w:i/>
          <w:lang w:val="en-GB"/>
        </w:rPr>
        <w:t>98</w:t>
      </w:r>
      <w:r w:rsidRPr="00FB5D9D">
        <w:rPr>
          <w:lang w:val="en-GB"/>
        </w:rPr>
        <w:t>, 5135-5144.</w:t>
      </w:r>
    </w:p>
    <w:p w:rsidR="00FB5D9D" w:rsidRPr="00FB5D9D" w:rsidRDefault="00FB5D9D" w:rsidP="00FB5D9D">
      <w:pPr>
        <w:pStyle w:val="MDPI71References"/>
        <w:numPr>
          <w:ilvl w:val="0"/>
          <w:numId w:val="1"/>
        </w:numPr>
        <w:ind w:left="425" w:hanging="425"/>
        <w:rPr>
          <w:lang w:val="en-GB"/>
        </w:rPr>
      </w:pPr>
      <w:r w:rsidRPr="00FB5D9D">
        <w:rPr>
          <w:lang w:val="en-GB"/>
        </w:rPr>
        <w:t xml:space="preserve">Gall, R.S.; Schaefer, W.P. Preparation and structural characterization of a monomeric dioxygen adduct of (N,N'-(1,1,2,2-tetramethylethylene)bis(salicylideniminato))-(1-benzylimidazole)cobalt(II). </w:t>
      </w:r>
      <w:r w:rsidRPr="00FB5D9D">
        <w:rPr>
          <w:i/>
          <w:lang w:val="en-GB"/>
        </w:rPr>
        <w:t>Inorg. Chem.</w:t>
      </w:r>
      <w:r w:rsidRPr="00FB5D9D">
        <w:rPr>
          <w:lang w:val="en-GB"/>
        </w:rPr>
        <w:t xml:space="preserve"> </w:t>
      </w:r>
      <w:r w:rsidRPr="00FB5D9D">
        <w:rPr>
          <w:b/>
          <w:lang w:val="en-GB"/>
        </w:rPr>
        <w:t>1976</w:t>
      </w:r>
      <w:r w:rsidRPr="00FB5D9D">
        <w:rPr>
          <w:lang w:val="en-GB"/>
        </w:rPr>
        <w:t xml:space="preserve">, </w:t>
      </w:r>
      <w:r w:rsidRPr="00FB5D9D">
        <w:rPr>
          <w:i/>
          <w:lang w:val="en-GB"/>
        </w:rPr>
        <w:t>15</w:t>
      </w:r>
      <w:r w:rsidRPr="00FB5D9D">
        <w:rPr>
          <w:lang w:val="en-GB"/>
        </w:rPr>
        <w:t>, 2758-2763.</w:t>
      </w:r>
    </w:p>
    <w:p w:rsidR="00FB5D9D" w:rsidRPr="00FB5D9D" w:rsidRDefault="00FB5D9D" w:rsidP="00FB5D9D">
      <w:pPr>
        <w:pStyle w:val="MDPI71References"/>
        <w:numPr>
          <w:ilvl w:val="0"/>
          <w:numId w:val="1"/>
        </w:numPr>
        <w:ind w:left="425" w:hanging="425"/>
        <w:rPr>
          <w:lang w:val="en-GB"/>
        </w:rPr>
      </w:pPr>
      <w:r w:rsidRPr="00FB5D9D">
        <w:rPr>
          <w:lang w:val="en-GB"/>
        </w:rPr>
        <w:t xml:space="preserve">Avdeef, A.; Schaefer, W.P. Reversible oxygen carriers. The synthesis and low temperature (-171.degree.) structure of an unstable monomeric dioxygen adduct of N,N'-(1,1,2,2-tetramethyl)ethylenebis(3-fluorosalicylideniminato)(1-methylimidazole)cobalt(II), Co(3-F-Saltmen)(1-Me-Imid)(O2).2Me2CO. </w:t>
      </w:r>
      <w:r w:rsidRPr="00FB5D9D">
        <w:rPr>
          <w:i/>
          <w:lang w:val="en-GB"/>
        </w:rPr>
        <w:t>J. Am. Chem. Soc.</w:t>
      </w:r>
      <w:r w:rsidRPr="00FB5D9D">
        <w:rPr>
          <w:lang w:val="en-GB"/>
        </w:rPr>
        <w:t xml:space="preserve"> </w:t>
      </w:r>
      <w:r w:rsidRPr="00FB5D9D">
        <w:rPr>
          <w:b/>
          <w:lang w:val="en-GB"/>
        </w:rPr>
        <w:t>1976</w:t>
      </w:r>
      <w:r w:rsidRPr="00FB5D9D">
        <w:rPr>
          <w:lang w:val="en-GB"/>
        </w:rPr>
        <w:t xml:space="preserve">, </w:t>
      </w:r>
      <w:r w:rsidRPr="00FB5D9D">
        <w:rPr>
          <w:i/>
          <w:lang w:val="en-GB"/>
        </w:rPr>
        <w:t>98</w:t>
      </w:r>
      <w:r w:rsidRPr="00FB5D9D">
        <w:rPr>
          <w:lang w:val="en-GB"/>
        </w:rPr>
        <w:t>, 5153-5159.</w:t>
      </w:r>
    </w:p>
    <w:p w:rsidR="00FB5D9D" w:rsidRPr="00FB5D9D" w:rsidRDefault="00FB5D9D" w:rsidP="00FB5D9D">
      <w:pPr>
        <w:pStyle w:val="MDPI71References"/>
        <w:numPr>
          <w:ilvl w:val="0"/>
          <w:numId w:val="1"/>
        </w:numPr>
        <w:ind w:left="425" w:hanging="425"/>
        <w:rPr>
          <w:lang w:val="en-GB"/>
        </w:rPr>
      </w:pPr>
      <w:r w:rsidRPr="00FB5D9D">
        <w:rPr>
          <w:lang w:val="en-GB"/>
        </w:rPr>
        <w:t xml:space="preserve">Tovrog, B.S.; Kitko, D.J.; Drago, R.S. Nature of the Bound O2 in a Series of Cobalt Dioxygen Adducts. </w:t>
      </w:r>
      <w:r w:rsidRPr="00FB5D9D">
        <w:rPr>
          <w:i/>
          <w:lang w:val="en-GB"/>
        </w:rPr>
        <w:t>J. Am. Chem. Soc.</w:t>
      </w:r>
      <w:r w:rsidRPr="00FB5D9D">
        <w:rPr>
          <w:lang w:val="en-GB"/>
        </w:rPr>
        <w:t xml:space="preserve"> </w:t>
      </w:r>
      <w:r w:rsidRPr="00FB5D9D">
        <w:rPr>
          <w:b/>
          <w:lang w:val="en-GB"/>
        </w:rPr>
        <w:t>1976</w:t>
      </w:r>
      <w:r w:rsidRPr="00FB5D9D">
        <w:rPr>
          <w:lang w:val="en-GB"/>
        </w:rPr>
        <w:t xml:space="preserve">, </w:t>
      </w:r>
      <w:r w:rsidRPr="00FB5D9D">
        <w:rPr>
          <w:i/>
          <w:lang w:val="en-GB"/>
        </w:rPr>
        <w:t>98</w:t>
      </w:r>
      <w:r w:rsidRPr="00FB5D9D">
        <w:rPr>
          <w:lang w:val="en-GB"/>
        </w:rPr>
        <w:t>, 5144-5153.</w:t>
      </w:r>
    </w:p>
    <w:p w:rsidR="00FB5D9D" w:rsidRPr="00FB5D9D" w:rsidRDefault="00FB5D9D" w:rsidP="00FB5D9D">
      <w:pPr>
        <w:pStyle w:val="MDPI71References"/>
        <w:numPr>
          <w:ilvl w:val="0"/>
          <w:numId w:val="1"/>
        </w:numPr>
        <w:ind w:left="425" w:hanging="425"/>
        <w:rPr>
          <w:lang w:val="en-GB"/>
        </w:rPr>
      </w:pPr>
      <w:bookmarkStart w:id="62" w:name="_Ref82329811"/>
      <w:r w:rsidRPr="00FB5D9D">
        <w:rPr>
          <w:lang w:val="en-GB"/>
        </w:rPr>
        <w:t xml:space="preserve">Schaefer, W.P.; </w:t>
      </w:r>
      <w:hyperlink r:id="rId14">
        <w:r w:rsidRPr="00FB5D9D">
          <w:rPr>
            <w:lang w:val="en-GB"/>
          </w:rPr>
          <w:t>Huie</w:t>
        </w:r>
      </w:hyperlink>
      <w:r w:rsidRPr="00FB5D9D">
        <w:rPr>
          <w:lang w:val="en-GB"/>
        </w:rPr>
        <w:t xml:space="preserve">, B.T.; </w:t>
      </w:r>
      <w:hyperlink r:id="rId15">
        <w:r w:rsidRPr="00FB5D9D">
          <w:rPr>
            <w:lang w:val="en-GB"/>
          </w:rPr>
          <w:t>Kurilla</w:t>
        </w:r>
      </w:hyperlink>
      <w:r w:rsidRPr="00FB5D9D">
        <w:rPr>
          <w:lang w:val="en-GB"/>
        </w:rPr>
        <w:t>, M.G.;</w:t>
      </w:r>
      <w:hyperlink r:id="rId16">
        <w:r w:rsidRPr="00FB5D9D">
          <w:rPr>
            <w:lang w:val="en-GB"/>
          </w:rPr>
          <w:t xml:space="preserve"> Ealick</w:t>
        </w:r>
      </w:hyperlink>
      <w:r w:rsidRPr="00FB5D9D">
        <w:rPr>
          <w:lang w:val="en-GB"/>
        </w:rPr>
        <w:t xml:space="preserve">, S.E. Oxygen-carrying cobalt complexes. 10. Structures of N,N'-ethylenebis(3-tert-butylsalicyliden iminato)cobalt (II) and its monomeric dioxygen adduct. </w:t>
      </w:r>
      <w:r w:rsidRPr="00FB5D9D">
        <w:rPr>
          <w:i/>
          <w:lang w:val="en-GB"/>
        </w:rPr>
        <w:t>Inorg. Chem.</w:t>
      </w:r>
      <w:r w:rsidRPr="00FB5D9D">
        <w:rPr>
          <w:lang w:val="en-GB"/>
        </w:rPr>
        <w:t xml:space="preserve"> </w:t>
      </w:r>
      <w:r w:rsidRPr="00FB5D9D">
        <w:rPr>
          <w:b/>
          <w:lang w:val="en-GB"/>
        </w:rPr>
        <w:t>1980</w:t>
      </w:r>
      <w:r w:rsidRPr="00FB5D9D">
        <w:rPr>
          <w:lang w:val="en-GB"/>
        </w:rPr>
        <w:t xml:space="preserve">, </w:t>
      </w:r>
      <w:r w:rsidRPr="00FB5D9D">
        <w:rPr>
          <w:i/>
          <w:lang w:val="en-GB"/>
        </w:rPr>
        <w:t>19</w:t>
      </w:r>
      <w:r w:rsidRPr="00FB5D9D">
        <w:rPr>
          <w:lang w:val="en-GB"/>
        </w:rPr>
        <w:t>, 340-344.</w:t>
      </w:r>
      <w:bookmarkEnd w:id="62"/>
    </w:p>
    <w:bookmarkStart w:id="63" w:name="_Ref87352946"/>
    <w:p w:rsidR="00FB5D9D" w:rsidRPr="00FB5D9D" w:rsidRDefault="00FB5D9D" w:rsidP="00FB5D9D">
      <w:pPr>
        <w:pStyle w:val="MDPI71References"/>
        <w:numPr>
          <w:ilvl w:val="0"/>
          <w:numId w:val="1"/>
        </w:numPr>
        <w:ind w:left="425" w:hanging="425"/>
        <w:rPr>
          <w:lang w:val="en-GB"/>
        </w:rPr>
      </w:pPr>
      <w:r w:rsidRPr="00FB5D9D">
        <w:rPr>
          <w:lang w:val="en-GB"/>
        </w:rPr>
        <w:fldChar w:fldCharType="begin"/>
      </w:r>
      <w:r w:rsidRPr="00FB5D9D">
        <w:rPr>
          <w:lang w:val="en-GB"/>
        </w:rPr>
        <w:instrText xml:space="preserve"> HYPERLINK "https://pubs.acs.org/action/doSearch?field1=Contrib&amp;text1=Ken++Flechtner" </w:instrText>
      </w:r>
      <w:r w:rsidRPr="00FB5D9D">
        <w:rPr>
          <w:lang w:val="en-GB"/>
        </w:rPr>
        <w:fldChar w:fldCharType="separate"/>
      </w:r>
      <w:r w:rsidRPr="00FB5D9D">
        <w:rPr>
          <w:lang w:val="en-GB"/>
        </w:rPr>
        <w:t>Flechtner</w:t>
      </w:r>
      <w:r w:rsidRPr="00FB5D9D">
        <w:rPr>
          <w:lang w:val="en-GB"/>
        </w:rPr>
        <w:fldChar w:fldCharType="end"/>
      </w:r>
      <w:r w:rsidRPr="00FB5D9D">
        <w:rPr>
          <w:lang w:val="en-GB"/>
        </w:rPr>
        <w:t xml:space="preserve">, K.; </w:t>
      </w:r>
      <w:hyperlink r:id="rId17" w:history="1">
        <w:r w:rsidRPr="00FB5D9D">
          <w:rPr>
            <w:lang w:val="en-GB"/>
          </w:rPr>
          <w:t>Kretschmann</w:t>
        </w:r>
      </w:hyperlink>
      <w:r w:rsidRPr="00FB5D9D">
        <w:rPr>
          <w:lang w:val="en-GB"/>
        </w:rPr>
        <w:t>, A.;</w:t>
      </w:r>
      <w:hyperlink r:id="rId18" w:history="1">
        <w:r w:rsidRPr="00FB5D9D">
          <w:rPr>
            <w:lang w:val="en-GB"/>
          </w:rPr>
          <w:t xml:space="preserve"> Steinrück</w:t>
        </w:r>
      </w:hyperlink>
      <w:r w:rsidRPr="00FB5D9D">
        <w:rPr>
          <w:lang w:val="en-GB"/>
        </w:rPr>
        <w:t xml:space="preserve">, H.-P.; </w:t>
      </w:r>
      <w:hyperlink r:id="rId19" w:history="1">
        <w:r w:rsidRPr="00FB5D9D">
          <w:rPr>
            <w:lang w:val="en-GB"/>
          </w:rPr>
          <w:t>Gottfried</w:t>
        </w:r>
      </w:hyperlink>
      <w:r w:rsidRPr="00FB5D9D">
        <w:rPr>
          <w:lang w:val="en-GB"/>
        </w:rPr>
        <w:t>,</w:t>
      </w:r>
      <w:r w:rsidRPr="00FB5D9D">
        <w:t xml:space="preserve"> </w:t>
      </w:r>
      <w:r w:rsidRPr="00FB5D9D">
        <w:rPr>
          <w:lang w:val="en-GB"/>
        </w:rPr>
        <w:t xml:space="preserve">J.M. NO-Induced Reversible Switching of the Electronic Interaction between a Porphyrin-Coordinated Cobalt Ion and a Silver Surface. </w:t>
      </w:r>
      <w:r w:rsidRPr="00FB5D9D">
        <w:rPr>
          <w:i/>
          <w:lang w:val="en-GB"/>
        </w:rPr>
        <w:t>J. Am. Chem. Soc.</w:t>
      </w:r>
      <w:r w:rsidRPr="00FB5D9D">
        <w:rPr>
          <w:lang w:val="en-GB"/>
        </w:rPr>
        <w:t>, 2007, 129, 12110–12111</w:t>
      </w:r>
      <w:bookmarkEnd w:id="63"/>
    </w:p>
    <w:bookmarkStart w:id="64" w:name="_Ref87352948"/>
    <w:p w:rsidR="00FB5D9D" w:rsidRPr="00FB5D9D" w:rsidRDefault="00FB5D9D" w:rsidP="00FB5D9D">
      <w:pPr>
        <w:pStyle w:val="MDPI71References"/>
        <w:numPr>
          <w:ilvl w:val="0"/>
          <w:numId w:val="1"/>
        </w:numPr>
        <w:ind w:left="425" w:hanging="425"/>
        <w:rPr>
          <w:lang w:val="en-GB"/>
        </w:rPr>
      </w:pPr>
      <w:r w:rsidRPr="00FB5D9D">
        <w:rPr>
          <w:lang w:val="en-GB"/>
        </w:rPr>
        <w:fldChar w:fldCharType="begin"/>
      </w:r>
      <w:r w:rsidRPr="00FB5D9D">
        <w:rPr>
          <w:lang w:val="en-GB"/>
        </w:rPr>
        <w:instrText xml:space="preserve"> HYPERLINK "https://pubs.acs.org/action/doSearch?field1=Contrib&amp;text1=Knud++Seufert" </w:instrText>
      </w:r>
      <w:r w:rsidRPr="00FB5D9D">
        <w:rPr>
          <w:lang w:val="en-GB"/>
        </w:rPr>
        <w:fldChar w:fldCharType="separate"/>
      </w:r>
      <w:r w:rsidRPr="00FB5D9D">
        <w:rPr>
          <w:lang w:val="en-GB"/>
        </w:rPr>
        <w:t>Seufert</w:t>
      </w:r>
      <w:r w:rsidRPr="00FB5D9D">
        <w:rPr>
          <w:lang w:val="en-GB"/>
        </w:rPr>
        <w:fldChar w:fldCharType="end"/>
      </w:r>
      <w:r w:rsidRPr="00FB5D9D">
        <w:rPr>
          <w:lang w:val="en-GB"/>
        </w:rPr>
        <w:t>, K.; Auwärter, W.; Barth, J.V. Discriminative Response of Surface-Confined Metalloporphyrin Molecules to Carbon and Nitrogen Monoxide.</w:t>
      </w:r>
      <w:r w:rsidRPr="00FB5D9D">
        <w:rPr>
          <w:i/>
          <w:lang w:val="en-GB"/>
        </w:rPr>
        <w:t xml:space="preserve"> J. Am. Chem. Soc.</w:t>
      </w:r>
      <w:r w:rsidRPr="00FB5D9D">
        <w:rPr>
          <w:lang w:val="en-GB"/>
        </w:rPr>
        <w:t>, 2010, 132, 18141–18146.</w:t>
      </w:r>
      <w:bookmarkEnd w:id="64"/>
    </w:p>
    <w:p w:rsidR="00FB5D9D" w:rsidRDefault="00FB5D9D" w:rsidP="00FB5D9D">
      <w:pPr>
        <w:pStyle w:val="MDPI71References"/>
        <w:numPr>
          <w:ilvl w:val="0"/>
          <w:numId w:val="0"/>
        </w:numPr>
        <w:rPr>
          <w:lang w:val="en-GB"/>
        </w:rPr>
      </w:pPr>
      <w:bookmarkStart w:id="65" w:name="_Ref76624085"/>
      <w:bookmarkStart w:id="66" w:name="_Ref76624416"/>
      <w:bookmarkEnd w:id="27"/>
      <w:bookmarkEnd w:id="28"/>
      <w:bookmarkEnd w:id="29"/>
      <w:bookmarkEnd w:id="65"/>
      <w:bookmarkEnd w:id="66"/>
    </w:p>
    <w:p w:rsidR="00FB5D9D" w:rsidRPr="000C0634" w:rsidRDefault="00FB5D9D" w:rsidP="00FB5D9D">
      <w:pPr>
        <w:pStyle w:val="MDPI71References"/>
        <w:numPr>
          <w:ilvl w:val="0"/>
          <w:numId w:val="0"/>
        </w:numPr>
        <w:rPr>
          <w:lang w:val="en-GB"/>
        </w:rPr>
      </w:pPr>
    </w:p>
    <w:p w:rsidR="00FB5D9D" w:rsidRDefault="00FB5D9D" w:rsidP="00FB5D9D">
      <w:pPr>
        <w:pStyle w:val="MDPI71References"/>
        <w:numPr>
          <w:ilvl w:val="0"/>
          <w:numId w:val="0"/>
        </w:numPr>
        <w:rPr>
          <w:lang w:val="en-GB"/>
        </w:rPr>
      </w:pPr>
    </w:p>
    <w:p w:rsidR="00AF6475" w:rsidRPr="00FB5D9D" w:rsidRDefault="00B845F3" w:rsidP="00FB5D9D"/>
    <w:sectPr w:rsidR="00AF6475" w:rsidRPr="00FB5D9D">
      <w:headerReference w:type="default" r:id="rId20"/>
      <w:footerReference w:type="default" r:id="rId21"/>
      <w:headerReference w:type="first" r:id="rId22"/>
      <w:footerReference w:type="first" r:id="rId23"/>
      <w:pgSz w:w="11906" w:h="16838"/>
      <w:pgMar w:top="1417" w:right="720" w:bottom="1077" w:left="720" w:header="1020" w:footer="340" w:gutter="0"/>
      <w:lnNumType w:countBy="1" w:distance="255" w:restart="continuous"/>
      <w:pgNumType w:start="1"/>
      <w:cols w:space="720"/>
      <w:formProt w:val="0"/>
      <w:titlePg/>
      <w:bidi/>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5F3" w:rsidRDefault="00B845F3" w:rsidP="00FB5D9D">
      <w:r>
        <w:separator/>
      </w:r>
    </w:p>
  </w:endnote>
  <w:endnote w:type="continuationSeparator" w:id="0">
    <w:p w:rsidR="00B845F3" w:rsidRDefault="00B845F3" w:rsidP="00FB5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Lucida Sans">
    <w:panose1 w:val="020B0602030504020204"/>
    <w:charset w:val="00"/>
    <w:family w:val="swiss"/>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9AE" w:rsidRDefault="00B845F3">
    <w:pPr>
      <w:pStyle w:val="Footer"/>
      <w:spacing w:line="240" w:lineRule="auto"/>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9AE" w:rsidRDefault="00B845F3">
    <w:pPr>
      <w:pBdr>
        <w:top w:val="single" w:sz="4" w:space="0" w:color="000000"/>
      </w:pBdr>
      <w:tabs>
        <w:tab w:val="right" w:pos="8844"/>
      </w:tabs>
      <w:snapToGrid w:val="0"/>
      <w:spacing w:before="480" w:line="100" w:lineRule="exact"/>
      <w:rPr>
        <w:i/>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5F3" w:rsidRDefault="00B845F3" w:rsidP="00FB5D9D">
      <w:r>
        <w:separator/>
      </w:r>
    </w:p>
  </w:footnote>
  <w:footnote w:type="continuationSeparator" w:id="0">
    <w:p w:rsidR="00B845F3" w:rsidRDefault="00B845F3" w:rsidP="00FB5D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9AE" w:rsidRDefault="00B845F3">
    <w:pPr>
      <w:pBdr>
        <w:bottom w:val="single" w:sz="4" w:space="1" w:color="000000"/>
      </w:pBdr>
      <w:tabs>
        <w:tab w:val="right" w:pos="8844"/>
      </w:tabs>
      <w:snapToGrid w:val="0"/>
      <w:spacing w:after="480" w:line="100" w:lineRule="exact"/>
      <w:rPr>
        <w:sz w:val="16"/>
      </w:rPr>
    </w:pPr>
  </w:p>
  <w:p w:rsidR="000439AE" w:rsidRDefault="00B845F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7" w:type="dxa"/>
      <w:tblLayout w:type="fixed"/>
      <w:tblCellMar>
        <w:left w:w="0" w:type="dxa"/>
        <w:right w:w="0" w:type="dxa"/>
      </w:tblCellMar>
      <w:tblLook w:val="04A0" w:firstRow="1" w:lastRow="0" w:firstColumn="1" w:lastColumn="0" w:noHBand="0" w:noVBand="1"/>
    </w:tblPr>
    <w:tblGrid>
      <w:gridCol w:w="3678"/>
      <w:gridCol w:w="4536"/>
      <w:gridCol w:w="2273"/>
    </w:tblGrid>
    <w:tr w:rsidR="000439AE">
      <w:trPr>
        <w:trHeight w:val="686"/>
      </w:trPr>
      <w:tc>
        <w:tcPr>
          <w:tcW w:w="3678" w:type="dxa"/>
          <w:shd w:val="clear" w:color="auto" w:fill="auto"/>
          <w:vAlign w:val="center"/>
        </w:tcPr>
        <w:p w:rsidR="000439AE" w:rsidRDefault="00B845F3">
          <w:pPr>
            <w:pStyle w:val="Header"/>
            <w:widowControl w:val="0"/>
            <w:pBdr>
              <w:bottom w:val="nil"/>
            </w:pBdr>
            <w:jc w:val="left"/>
            <w:rPr>
              <w:rFonts w:eastAsia="DengXian"/>
              <w:b/>
              <w:bCs/>
            </w:rPr>
          </w:pPr>
        </w:p>
      </w:tc>
      <w:tc>
        <w:tcPr>
          <w:tcW w:w="4536" w:type="dxa"/>
          <w:shd w:val="clear" w:color="auto" w:fill="auto"/>
          <w:vAlign w:val="center"/>
        </w:tcPr>
        <w:p w:rsidR="000439AE" w:rsidRDefault="00B845F3">
          <w:pPr>
            <w:pStyle w:val="Header"/>
            <w:widowControl w:val="0"/>
            <w:pBdr>
              <w:bottom w:val="nil"/>
            </w:pBdr>
            <w:rPr>
              <w:rFonts w:eastAsia="DengXian"/>
              <w:b/>
              <w:bCs/>
            </w:rPr>
          </w:pPr>
        </w:p>
      </w:tc>
      <w:tc>
        <w:tcPr>
          <w:tcW w:w="2273" w:type="dxa"/>
          <w:shd w:val="clear" w:color="auto" w:fill="auto"/>
          <w:vAlign w:val="center"/>
        </w:tcPr>
        <w:p w:rsidR="000439AE" w:rsidRDefault="00B845F3">
          <w:pPr>
            <w:pStyle w:val="Header"/>
            <w:widowControl w:val="0"/>
            <w:pBdr>
              <w:bottom w:val="nil"/>
            </w:pBdr>
            <w:jc w:val="right"/>
            <w:rPr>
              <w:rFonts w:eastAsia="DengXian"/>
              <w:b/>
              <w:bCs/>
            </w:rPr>
          </w:pPr>
        </w:p>
      </w:tc>
    </w:tr>
  </w:tbl>
  <w:p w:rsidR="000439AE" w:rsidRDefault="00B845F3">
    <w:pPr>
      <w:pBdr>
        <w:bottom w:val="single" w:sz="4" w:space="1" w:color="000000"/>
      </w:pBdr>
      <w:snapToGrid w:val="0"/>
      <w:spacing w:line="100"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CC2"/>
    <w:multiLevelType w:val="hybridMultilevel"/>
    <w:tmpl w:val="2B12D54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A282088"/>
    <w:multiLevelType w:val="multilevel"/>
    <w:tmpl w:val="8C5C096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AC81461"/>
    <w:multiLevelType w:val="multilevel"/>
    <w:tmpl w:val="24320CCE"/>
    <w:lvl w:ilvl="0">
      <w:start w:val="1"/>
      <w:numFmt w:val="decimal"/>
      <w:lvlText w:val="%1"/>
      <w:lvlJc w:val="left"/>
      <w:pPr>
        <w:tabs>
          <w:tab w:val="num" w:pos="0"/>
        </w:tabs>
        <w:ind w:left="2968" w:hanging="360"/>
      </w:pPr>
    </w:lvl>
    <w:lvl w:ilvl="1">
      <w:start w:val="1"/>
      <w:numFmt w:val="lowerLetter"/>
      <w:lvlText w:val="%2."/>
      <w:lvlJc w:val="left"/>
      <w:pPr>
        <w:tabs>
          <w:tab w:val="num" w:pos="0"/>
        </w:tabs>
        <w:ind w:left="3688" w:hanging="360"/>
      </w:pPr>
    </w:lvl>
    <w:lvl w:ilvl="2">
      <w:start w:val="1"/>
      <w:numFmt w:val="lowerRoman"/>
      <w:lvlText w:val="%3."/>
      <w:lvlJc w:val="right"/>
      <w:pPr>
        <w:tabs>
          <w:tab w:val="num" w:pos="0"/>
        </w:tabs>
        <w:ind w:left="4408" w:hanging="180"/>
      </w:pPr>
    </w:lvl>
    <w:lvl w:ilvl="3">
      <w:start w:val="1"/>
      <w:numFmt w:val="decimal"/>
      <w:lvlText w:val="%4."/>
      <w:lvlJc w:val="left"/>
      <w:pPr>
        <w:tabs>
          <w:tab w:val="num" w:pos="0"/>
        </w:tabs>
        <w:ind w:left="5128" w:hanging="360"/>
      </w:pPr>
    </w:lvl>
    <w:lvl w:ilvl="4">
      <w:start w:val="1"/>
      <w:numFmt w:val="lowerLetter"/>
      <w:lvlText w:val="%5."/>
      <w:lvlJc w:val="left"/>
      <w:pPr>
        <w:tabs>
          <w:tab w:val="num" w:pos="0"/>
        </w:tabs>
        <w:ind w:left="5848" w:hanging="360"/>
      </w:pPr>
    </w:lvl>
    <w:lvl w:ilvl="5">
      <w:start w:val="1"/>
      <w:numFmt w:val="lowerRoman"/>
      <w:lvlText w:val="%6."/>
      <w:lvlJc w:val="right"/>
      <w:pPr>
        <w:tabs>
          <w:tab w:val="num" w:pos="0"/>
        </w:tabs>
        <w:ind w:left="6568" w:hanging="180"/>
      </w:pPr>
    </w:lvl>
    <w:lvl w:ilvl="6">
      <w:start w:val="1"/>
      <w:numFmt w:val="decimal"/>
      <w:lvlText w:val="%7."/>
      <w:lvlJc w:val="left"/>
      <w:pPr>
        <w:tabs>
          <w:tab w:val="num" w:pos="0"/>
        </w:tabs>
        <w:ind w:left="7288" w:hanging="360"/>
      </w:pPr>
    </w:lvl>
    <w:lvl w:ilvl="7">
      <w:start w:val="1"/>
      <w:numFmt w:val="lowerLetter"/>
      <w:lvlText w:val="%8."/>
      <w:lvlJc w:val="left"/>
      <w:pPr>
        <w:tabs>
          <w:tab w:val="num" w:pos="0"/>
        </w:tabs>
        <w:ind w:left="8008" w:hanging="360"/>
      </w:pPr>
    </w:lvl>
    <w:lvl w:ilvl="8">
      <w:start w:val="1"/>
      <w:numFmt w:val="lowerRoman"/>
      <w:lvlText w:val="%9."/>
      <w:lvlJc w:val="right"/>
      <w:pPr>
        <w:tabs>
          <w:tab w:val="num" w:pos="0"/>
        </w:tabs>
        <w:ind w:left="8728" w:hanging="180"/>
      </w:pPr>
    </w:lvl>
  </w:abstractNum>
  <w:abstractNum w:abstractNumId="3" w15:restartNumberingAfterBreak="0">
    <w:nsid w:val="23244CFC"/>
    <w:multiLevelType w:val="hybridMultilevel"/>
    <w:tmpl w:val="B602EA08"/>
    <w:lvl w:ilvl="0" w:tplc="7C8C939E">
      <w:start w:val="1"/>
      <w:numFmt w:val="lowerRoman"/>
      <w:lvlText w:val="%1)"/>
      <w:lvlJc w:val="left"/>
      <w:pPr>
        <w:ind w:left="3753" w:hanging="720"/>
      </w:pPr>
      <w:rPr>
        <w:rFonts w:hint="default"/>
      </w:rPr>
    </w:lvl>
    <w:lvl w:ilvl="1" w:tplc="08090019" w:tentative="1">
      <w:start w:val="1"/>
      <w:numFmt w:val="lowerLetter"/>
      <w:lvlText w:val="%2."/>
      <w:lvlJc w:val="left"/>
      <w:pPr>
        <w:ind w:left="4113" w:hanging="360"/>
      </w:pPr>
    </w:lvl>
    <w:lvl w:ilvl="2" w:tplc="0809001B" w:tentative="1">
      <w:start w:val="1"/>
      <w:numFmt w:val="lowerRoman"/>
      <w:lvlText w:val="%3."/>
      <w:lvlJc w:val="right"/>
      <w:pPr>
        <w:ind w:left="4833" w:hanging="180"/>
      </w:pPr>
    </w:lvl>
    <w:lvl w:ilvl="3" w:tplc="0809000F" w:tentative="1">
      <w:start w:val="1"/>
      <w:numFmt w:val="decimal"/>
      <w:lvlText w:val="%4."/>
      <w:lvlJc w:val="left"/>
      <w:pPr>
        <w:ind w:left="5553" w:hanging="360"/>
      </w:pPr>
    </w:lvl>
    <w:lvl w:ilvl="4" w:tplc="08090019" w:tentative="1">
      <w:start w:val="1"/>
      <w:numFmt w:val="lowerLetter"/>
      <w:lvlText w:val="%5."/>
      <w:lvlJc w:val="left"/>
      <w:pPr>
        <w:ind w:left="6273" w:hanging="360"/>
      </w:pPr>
    </w:lvl>
    <w:lvl w:ilvl="5" w:tplc="0809001B" w:tentative="1">
      <w:start w:val="1"/>
      <w:numFmt w:val="lowerRoman"/>
      <w:lvlText w:val="%6."/>
      <w:lvlJc w:val="right"/>
      <w:pPr>
        <w:ind w:left="6993" w:hanging="180"/>
      </w:pPr>
    </w:lvl>
    <w:lvl w:ilvl="6" w:tplc="0809000F" w:tentative="1">
      <w:start w:val="1"/>
      <w:numFmt w:val="decimal"/>
      <w:lvlText w:val="%7."/>
      <w:lvlJc w:val="left"/>
      <w:pPr>
        <w:ind w:left="7713" w:hanging="360"/>
      </w:pPr>
    </w:lvl>
    <w:lvl w:ilvl="7" w:tplc="08090019" w:tentative="1">
      <w:start w:val="1"/>
      <w:numFmt w:val="lowerLetter"/>
      <w:lvlText w:val="%8."/>
      <w:lvlJc w:val="left"/>
      <w:pPr>
        <w:ind w:left="8433" w:hanging="360"/>
      </w:pPr>
    </w:lvl>
    <w:lvl w:ilvl="8" w:tplc="0809001B" w:tentative="1">
      <w:start w:val="1"/>
      <w:numFmt w:val="lowerRoman"/>
      <w:lvlText w:val="%9."/>
      <w:lvlJc w:val="right"/>
      <w:pPr>
        <w:ind w:left="9153" w:hanging="180"/>
      </w:pPr>
    </w:lvl>
  </w:abstractNum>
  <w:abstractNum w:abstractNumId="4" w15:restartNumberingAfterBreak="0">
    <w:nsid w:val="279C52C1"/>
    <w:multiLevelType w:val="multilevel"/>
    <w:tmpl w:val="01DE0B1A"/>
    <w:lvl w:ilvl="0">
      <w:start w:val="1"/>
      <w:numFmt w:val="bullet"/>
      <w:pStyle w:val="MDPI38bullet"/>
      <w:lvlText w:val=""/>
      <w:lvlJc w:val="left"/>
      <w:pPr>
        <w:tabs>
          <w:tab w:val="num" w:pos="0"/>
        </w:tabs>
        <w:ind w:left="3033" w:hanging="425"/>
      </w:pPr>
      <w:rPr>
        <w:rFonts w:ascii="Symbol" w:hAnsi="Symbol" w:cs="Symbol" w:hint="default"/>
      </w:rPr>
    </w:lvl>
    <w:lvl w:ilvl="1">
      <w:start w:val="1"/>
      <w:numFmt w:val="bullet"/>
      <w:lvlText w:val="o"/>
      <w:lvlJc w:val="left"/>
      <w:pPr>
        <w:tabs>
          <w:tab w:val="num" w:pos="0"/>
        </w:tabs>
        <w:ind w:left="4048" w:hanging="360"/>
      </w:pPr>
      <w:rPr>
        <w:rFonts w:ascii="Courier New" w:hAnsi="Courier New" w:cs="Courier New" w:hint="default"/>
      </w:rPr>
    </w:lvl>
    <w:lvl w:ilvl="2">
      <w:start w:val="1"/>
      <w:numFmt w:val="bullet"/>
      <w:lvlText w:val=""/>
      <w:lvlJc w:val="left"/>
      <w:pPr>
        <w:tabs>
          <w:tab w:val="num" w:pos="0"/>
        </w:tabs>
        <w:ind w:left="4768" w:hanging="360"/>
      </w:pPr>
      <w:rPr>
        <w:rFonts w:ascii="Wingdings" w:hAnsi="Wingdings" w:cs="Wingdings" w:hint="default"/>
      </w:rPr>
    </w:lvl>
    <w:lvl w:ilvl="3">
      <w:start w:val="1"/>
      <w:numFmt w:val="bullet"/>
      <w:lvlText w:val=""/>
      <w:lvlJc w:val="left"/>
      <w:pPr>
        <w:tabs>
          <w:tab w:val="num" w:pos="0"/>
        </w:tabs>
        <w:ind w:left="5488" w:hanging="360"/>
      </w:pPr>
      <w:rPr>
        <w:rFonts w:ascii="Symbol" w:hAnsi="Symbol" w:cs="Symbol" w:hint="default"/>
      </w:rPr>
    </w:lvl>
    <w:lvl w:ilvl="4">
      <w:start w:val="1"/>
      <w:numFmt w:val="bullet"/>
      <w:lvlText w:val="o"/>
      <w:lvlJc w:val="left"/>
      <w:pPr>
        <w:tabs>
          <w:tab w:val="num" w:pos="0"/>
        </w:tabs>
        <w:ind w:left="6208" w:hanging="360"/>
      </w:pPr>
      <w:rPr>
        <w:rFonts w:ascii="Courier New" w:hAnsi="Courier New" w:cs="Courier New" w:hint="default"/>
      </w:rPr>
    </w:lvl>
    <w:lvl w:ilvl="5">
      <w:start w:val="1"/>
      <w:numFmt w:val="bullet"/>
      <w:lvlText w:val=""/>
      <w:lvlJc w:val="left"/>
      <w:pPr>
        <w:tabs>
          <w:tab w:val="num" w:pos="0"/>
        </w:tabs>
        <w:ind w:left="6928" w:hanging="360"/>
      </w:pPr>
      <w:rPr>
        <w:rFonts w:ascii="Wingdings" w:hAnsi="Wingdings" w:cs="Wingdings" w:hint="default"/>
      </w:rPr>
    </w:lvl>
    <w:lvl w:ilvl="6">
      <w:start w:val="1"/>
      <w:numFmt w:val="bullet"/>
      <w:lvlText w:val=""/>
      <w:lvlJc w:val="left"/>
      <w:pPr>
        <w:tabs>
          <w:tab w:val="num" w:pos="0"/>
        </w:tabs>
        <w:ind w:left="7648" w:hanging="360"/>
      </w:pPr>
      <w:rPr>
        <w:rFonts w:ascii="Symbol" w:hAnsi="Symbol" w:cs="Symbol" w:hint="default"/>
      </w:rPr>
    </w:lvl>
    <w:lvl w:ilvl="7">
      <w:start w:val="1"/>
      <w:numFmt w:val="bullet"/>
      <w:lvlText w:val="o"/>
      <w:lvlJc w:val="left"/>
      <w:pPr>
        <w:tabs>
          <w:tab w:val="num" w:pos="0"/>
        </w:tabs>
        <w:ind w:left="8368" w:hanging="360"/>
      </w:pPr>
      <w:rPr>
        <w:rFonts w:ascii="Courier New" w:hAnsi="Courier New" w:cs="Courier New" w:hint="default"/>
      </w:rPr>
    </w:lvl>
    <w:lvl w:ilvl="8">
      <w:start w:val="1"/>
      <w:numFmt w:val="bullet"/>
      <w:lvlText w:val=""/>
      <w:lvlJc w:val="left"/>
      <w:pPr>
        <w:tabs>
          <w:tab w:val="num" w:pos="0"/>
        </w:tabs>
        <w:ind w:left="9088" w:hanging="360"/>
      </w:pPr>
      <w:rPr>
        <w:rFonts w:ascii="Wingdings" w:hAnsi="Wingdings" w:cs="Wingdings" w:hint="default"/>
      </w:rPr>
    </w:lvl>
  </w:abstractNum>
  <w:abstractNum w:abstractNumId="5" w15:restartNumberingAfterBreak="0">
    <w:nsid w:val="28934F59"/>
    <w:multiLevelType w:val="multilevel"/>
    <w:tmpl w:val="87787098"/>
    <w:lvl w:ilvl="0">
      <w:start w:val="1"/>
      <w:numFmt w:val="decimal"/>
      <w:lvlText w:val="%1."/>
      <w:lvlJc w:val="left"/>
      <w:pPr>
        <w:tabs>
          <w:tab w:val="num" w:pos="0"/>
        </w:tabs>
        <w:ind w:left="78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9402D48"/>
    <w:multiLevelType w:val="multilevel"/>
    <w:tmpl w:val="DE423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0C7C5B"/>
    <w:multiLevelType w:val="multilevel"/>
    <w:tmpl w:val="18A48EC0"/>
    <w:lvl w:ilvl="0">
      <w:start w:val="1"/>
      <w:numFmt w:val="decimal"/>
      <w:pStyle w:val="MDPI71References"/>
      <w:lvlText w:val="%1."/>
      <w:lvlJc w:val="left"/>
      <w:pPr>
        <w:tabs>
          <w:tab w:val="num" w:pos="0"/>
        </w:tabs>
        <w:ind w:left="425" w:hanging="425"/>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34A30E55"/>
    <w:multiLevelType w:val="hybridMultilevel"/>
    <w:tmpl w:val="2B12D54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6973FCB"/>
    <w:multiLevelType w:val="multilevel"/>
    <w:tmpl w:val="FC40C850"/>
    <w:lvl w:ilvl="0">
      <w:start w:val="1"/>
      <w:numFmt w:val="decimal"/>
      <w:pStyle w:val="RSCR02References"/>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661E5FEC"/>
    <w:multiLevelType w:val="multilevel"/>
    <w:tmpl w:val="4C76A0E6"/>
    <w:lvl w:ilvl="0">
      <w:start w:val="1"/>
      <w:numFmt w:val="decimal"/>
      <w:pStyle w:val="MDPI71FootNotes"/>
      <w:lvlText w:val="%1"/>
      <w:lvlJc w:val="left"/>
      <w:pPr>
        <w:tabs>
          <w:tab w:val="num" w:pos="0"/>
        </w:tabs>
        <w:ind w:left="425" w:hanging="425"/>
      </w:pPr>
      <w:rPr>
        <w:caps w:val="0"/>
        <w:smallCaps w:val="0"/>
        <w:strike w:val="0"/>
        <w:dstrike w:val="0"/>
        <w:vanish w:val="0"/>
        <w:sz w:val="18"/>
        <w:vertAlign w:val="superscrip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72BB5086"/>
    <w:multiLevelType w:val="multilevel"/>
    <w:tmpl w:val="E78C7094"/>
    <w:lvl w:ilvl="0">
      <w:start w:val="1"/>
      <w:numFmt w:val="decimal"/>
      <w:pStyle w:val="MDPI37itemize"/>
      <w:lvlText w:val="%1."/>
      <w:lvlJc w:val="left"/>
      <w:pPr>
        <w:tabs>
          <w:tab w:val="num" w:pos="0"/>
        </w:tabs>
        <w:ind w:left="3033" w:hanging="425"/>
      </w:pPr>
    </w:lvl>
    <w:lvl w:ilvl="1">
      <w:start w:val="1"/>
      <w:numFmt w:val="lowerLetter"/>
      <w:lvlText w:val="%2."/>
      <w:lvlJc w:val="left"/>
      <w:pPr>
        <w:tabs>
          <w:tab w:val="num" w:pos="0"/>
        </w:tabs>
        <w:ind w:left="3691" w:hanging="360"/>
      </w:pPr>
    </w:lvl>
    <w:lvl w:ilvl="2">
      <w:start w:val="1"/>
      <w:numFmt w:val="lowerRoman"/>
      <w:lvlText w:val="%3."/>
      <w:lvlJc w:val="right"/>
      <w:pPr>
        <w:tabs>
          <w:tab w:val="num" w:pos="0"/>
        </w:tabs>
        <w:ind w:left="4411" w:hanging="180"/>
      </w:pPr>
    </w:lvl>
    <w:lvl w:ilvl="3">
      <w:start w:val="1"/>
      <w:numFmt w:val="decimal"/>
      <w:lvlText w:val="%4."/>
      <w:lvlJc w:val="left"/>
      <w:pPr>
        <w:tabs>
          <w:tab w:val="num" w:pos="0"/>
        </w:tabs>
        <w:ind w:left="5131" w:hanging="360"/>
      </w:pPr>
    </w:lvl>
    <w:lvl w:ilvl="4">
      <w:start w:val="1"/>
      <w:numFmt w:val="lowerLetter"/>
      <w:lvlText w:val="%5."/>
      <w:lvlJc w:val="left"/>
      <w:pPr>
        <w:tabs>
          <w:tab w:val="num" w:pos="0"/>
        </w:tabs>
        <w:ind w:left="5851" w:hanging="360"/>
      </w:pPr>
    </w:lvl>
    <w:lvl w:ilvl="5">
      <w:start w:val="1"/>
      <w:numFmt w:val="lowerRoman"/>
      <w:lvlText w:val="%6."/>
      <w:lvlJc w:val="right"/>
      <w:pPr>
        <w:tabs>
          <w:tab w:val="num" w:pos="0"/>
        </w:tabs>
        <w:ind w:left="6571" w:hanging="180"/>
      </w:pPr>
    </w:lvl>
    <w:lvl w:ilvl="6">
      <w:start w:val="1"/>
      <w:numFmt w:val="decimal"/>
      <w:lvlText w:val="%7."/>
      <w:lvlJc w:val="left"/>
      <w:pPr>
        <w:tabs>
          <w:tab w:val="num" w:pos="0"/>
        </w:tabs>
        <w:ind w:left="7291" w:hanging="360"/>
      </w:pPr>
    </w:lvl>
    <w:lvl w:ilvl="7">
      <w:start w:val="1"/>
      <w:numFmt w:val="lowerLetter"/>
      <w:lvlText w:val="%8."/>
      <w:lvlJc w:val="left"/>
      <w:pPr>
        <w:tabs>
          <w:tab w:val="num" w:pos="0"/>
        </w:tabs>
        <w:ind w:left="8011" w:hanging="360"/>
      </w:pPr>
    </w:lvl>
    <w:lvl w:ilvl="8">
      <w:start w:val="1"/>
      <w:numFmt w:val="lowerRoman"/>
      <w:lvlText w:val="%9."/>
      <w:lvlJc w:val="right"/>
      <w:pPr>
        <w:tabs>
          <w:tab w:val="num" w:pos="0"/>
        </w:tabs>
        <w:ind w:left="8731" w:hanging="180"/>
      </w:pPr>
    </w:lvl>
  </w:abstractNum>
  <w:abstractNum w:abstractNumId="12" w15:restartNumberingAfterBreak="0">
    <w:nsid w:val="7EAC5145"/>
    <w:multiLevelType w:val="multilevel"/>
    <w:tmpl w:val="F61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1"/>
  </w:num>
  <w:num w:numId="3">
    <w:abstractNumId w:val="4"/>
  </w:num>
  <w:num w:numId="4">
    <w:abstractNumId w:val="7"/>
  </w:num>
  <w:num w:numId="5">
    <w:abstractNumId w:val="10"/>
  </w:num>
  <w:num w:numId="6">
    <w:abstractNumId w:val="2"/>
  </w:num>
  <w:num w:numId="7">
    <w:abstractNumId w:val="9"/>
  </w:num>
  <w:num w:numId="8">
    <w:abstractNumId w:val="1"/>
  </w:num>
  <w:num w:numId="9">
    <w:abstractNumId w:val="5"/>
    <w:lvlOverride w:ilvl="0">
      <w:startOverride w:val="1"/>
    </w:lvlOverride>
  </w:num>
  <w:num w:numId="10">
    <w:abstractNumId w:val="3"/>
  </w:num>
  <w:num w:numId="11">
    <w:abstractNumId w:val="0"/>
  </w:num>
  <w:num w:numId="12">
    <w:abstractNumId w:val="8"/>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D9D"/>
    <w:rsid w:val="00147140"/>
    <w:rsid w:val="004418A6"/>
    <w:rsid w:val="00B845F3"/>
    <w:rsid w:val="00FB5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AE59C"/>
  <w15:chartTrackingRefBased/>
  <w15:docId w15:val="{68772FE0-F1BA-49F4-852C-9D92A9072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qFormat="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5D9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FB5D9D"/>
    <w:pPr>
      <w:spacing w:beforeAutospacing="1" w:afterAutospacing="1"/>
      <w:outlineLvl w:val="0"/>
    </w:pPr>
    <w:rPr>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FB5D9D"/>
    <w:rPr>
      <w:rFonts w:ascii="Times New Roman" w:eastAsia="Times New Roman" w:hAnsi="Times New Roman" w:cs="Times New Roman"/>
      <w:b/>
      <w:bCs/>
      <w:kern w:val="2"/>
      <w:sz w:val="48"/>
      <w:szCs w:val="48"/>
      <w:lang w:eastAsia="en-GB"/>
    </w:rPr>
  </w:style>
  <w:style w:type="character" w:customStyle="1" w:styleId="FooterChar">
    <w:name w:val="Footer Char"/>
    <w:link w:val="Footer"/>
    <w:uiPriority w:val="99"/>
    <w:qFormat/>
    <w:rsid w:val="00FB5D9D"/>
    <w:rPr>
      <w:rFonts w:ascii="Palatino Linotype" w:hAnsi="Palatino Linotype"/>
      <w:color w:val="000000"/>
      <w:szCs w:val="18"/>
    </w:rPr>
  </w:style>
  <w:style w:type="character" w:customStyle="1" w:styleId="HeaderChar">
    <w:name w:val="Header Char"/>
    <w:link w:val="Header"/>
    <w:uiPriority w:val="99"/>
    <w:qFormat/>
    <w:rsid w:val="00FB5D9D"/>
    <w:rPr>
      <w:rFonts w:ascii="Palatino Linotype" w:hAnsi="Palatino Linotype"/>
      <w:color w:val="000000"/>
      <w:szCs w:val="18"/>
    </w:rPr>
  </w:style>
  <w:style w:type="character" w:customStyle="1" w:styleId="BalloonTextChar">
    <w:name w:val="Balloon Text Char"/>
    <w:link w:val="BalloonText"/>
    <w:uiPriority w:val="99"/>
    <w:qFormat/>
    <w:rsid w:val="00FB5D9D"/>
    <w:rPr>
      <w:rFonts w:ascii="Palatino Linotype" w:hAnsi="Palatino Linotype" w:cs="Tahoma"/>
      <w:color w:val="000000"/>
      <w:szCs w:val="18"/>
    </w:rPr>
  </w:style>
  <w:style w:type="character" w:styleId="LineNumber">
    <w:name w:val="line number"/>
    <w:uiPriority w:val="99"/>
    <w:qFormat/>
    <w:rsid w:val="00FB5D9D"/>
    <w:rPr>
      <w:rFonts w:ascii="Palatino Linotype" w:hAnsi="Palatino Linotype"/>
      <w:sz w:val="16"/>
    </w:rPr>
  </w:style>
  <w:style w:type="character" w:styleId="Hyperlink">
    <w:name w:val="Hyperlink"/>
    <w:uiPriority w:val="99"/>
    <w:rsid w:val="00FB5D9D"/>
    <w:rPr>
      <w:color w:val="0000FF"/>
      <w:u w:val="single"/>
    </w:rPr>
  </w:style>
  <w:style w:type="character" w:customStyle="1" w:styleId="UnresolvedMention">
    <w:name w:val="Unresolved Mention"/>
    <w:uiPriority w:val="99"/>
    <w:semiHidden/>
    <w:unhideWhenUsed/>
    <w:qFormat/>
    <w:rsid w:val="00FB5D9D"/>
    <w:rPr>
      <w:color w:val="605E5C"/>
      <w:shd w:val="clear" w:color="auto" w:fill="E1DFDD"/>
    </w:rPr>
  </w:style>
  <w:style w:type="character" w:customStyle="1" w:styleId="apple-converted-space">
    <w:name w:val="apple-converted-space"/>
    <w:qFormat/>
    <w:rsid w:val="00FB5D9D"/>
  </w:style>
  <w:style w:type="character" w:customStyle="1" w:styleId="BodyTextChar">
    <w:name w:val="Body Text Char"/>
    <w:link w:val="BodyText"/>
    <w:qFormat/>
    <w:rsid w:val="00FB5D9D"/>
    <w:rPr>
      <w:rFonts w:ascii="Palatino Linotype" w:hAnsi="Palatino Linotype"/>
      <w:color w:val="000000"/>
      <w:sz w:val="24"/>
      <w:lang w:eastAsia="de-DE"/>
    </w:rPr>
  </w:style>
  <w:style w:type="character" w:styleId="CommentReference">
    <w:name w:val="annotation reference"/>
    <w:qFormat/>
    <w:rsid w:val="00FB5D9D"/>
    <w:rPr>
      <w:sz w:val="21"/>
      <w:szCs w:val="21"/>
    </w:rPr>
  </w:style>
  <w:style w:type="character" w:customStyle="1" w:styleId="CommentTextChar">
    <w:name w:val="Comment Text Char"/>
    <w:link w:val="CommentText"/>
    <w:qFormat/>
    <w:rsid w:val="00FB5D9D"/>
    <w:rPr>
      <w:rFonts w:ascii="Palatino Linotype" w:hAnsi="Palatino Linotype"/>
      <w:color w:val="000000"/>
    </w:rPr>
  </w:style>
  <w:style w:type="character" w:customStyle="1" w:styleId="CommentSubjectChar">
    <w:name w:val="Comment Subject Char"/>
    <w:link w:val="CommentSubject"/>
    <w:qFormat/>
    <w:rsid w:val="00FB5D9D"/>
    <w:rPr>
      <w:rFonts w:ascii="Palatino Linotype" w:hAnsi="Palatino Linotype"/>
      <w:b/>
      <w:bCs/>
      <w:color w:val="000000"/>
    </w:rPr>
  </w:style>
  <w:style w:type="character" w:customStyle="1" w:styleId="EndnoteCharacters">
    <w:name w:val="Endnote Characters"/>
    <w:qFormat/>
    <w:rsid w:val="00FB5D9D"/>
    <w:rPr>
      <w:vertAlign w:val="superscript"/>
    </w:rPr>
  </w:style>
  <w:style w:type="character" w:customStyle="1" w:styleId="EndnoteAnchor">
    <w:name w:val="Endnote Anchor"/>
    <w:rsid w:val="00FB5D9D"/>
    <w:rPr>
      <w:vertAlign w:val="superscript"/>
    </w:rPr>
  </w:style>
  <w:style w:type="character" w:customStyle="1" w:styleId="EndnoteTextChar">
    <w:name w:val="Endnote Text Char"/>
    <w:link w:val="EndnoteText"/>
    <w:semiHidden/>
    <w:qFormat/>
    <w:rsid w:val="00FB5D9D"/>
    <w:rPr>
      <w:rFonts w:ascii="Palatino Linotype" w:hAnsi="Palatino Linotype"/>
      <w:color w:val="000000"/>
    </w:rPr>
  </w:style>
  <w:style w:type="character" w:styleId="FollowedHyperlink">
    <w:name w:val="FollowedHyperlink"/>
    <w:rsid w:val="00FB5D9D"/>
    <w:rPr>
      <w:color w:val="954F72"/>
      <w:u w:val="single"/>
    </w:rPr>
  </w:style>
  <w:style w:type="character" w:customStyle="1" w:styleId="FootnoteTextChar">
    <w:name w:val="Footnote Text Char"/>
    <w:link w:val="FootnoteText"/>
    <w:semiHidden/>
    <w:qFormat/>
    <w:rsid w:val="00FB5D9D"/>
    <w:rPr>
      <w:rFonts w:ascii="Palatino Linotype" w:hAnsi="Palatino Linotype"/>
      <w:color w:val="000000"/>
    </w:rPr>
  </w:style>
  <w:style w:type="character" w:styleId="PageNumber">
    <w:name w:val="page number"/>
    <w:qFormat/>
    <w:rsid w:val="00FB5D9D"/>
  </w:style>
  <w:style w:type="character" w:styleId="PlaceholderText">
    <w:name w:val="Placeholder Text"/>
    <w:uiPriority w:val="99"/>
    <w:semiHidden/>
    <w:qFormat/>
    <w:rsid w:val="00FB5D9D"/>
    <w:rPr>
      <w:color w:val="808080"/>
    </w:rPr>
  </w:style>
  <w:style w:type="character" w:customStyle="1" w:styleId="RSCR02ReferencesChar">
    <w:name w:val="RSC R02 References Char"/>
    <w:basedOn w:val="DefaultParagraphFont"/>
    <w:link w:val="RSCR02References"/>
    <w:qFormat/>
    <w:rsid w:val="00FB5D9D"/>
    <w:rPr>
      <w:w w:val="105"/>
      <w:sz w:val="18"/>
      <w:szCs w:val="18"/>
      <w:lang w:val="en-GB"/>
    </w:rPr>
  </w:style>
  <w:style w:type="character" w:customStyle="1" w:styleId="RSCB02ArticleTextChar">
    <w:name w:val="RSC B02 Article Text Char"/>
    <w:basedOn w:val="DefaultParagraphFont"/>
    <w:link w:val="RSCB02ArticleText"/>
    <w:qFormat/>
    <w:rsid w:val="00FB5D9D"/>
    <w:rPr>
      <w:w w:val="108"/>
      <w:sz w:val="18"/>
      <w:szCs w:val="18"/>
      <w:lang w:val="en-GB"/>
    </w:rPr>
  </w:style>
  <w:style w:type="character" w:customStyle="1" w:styleId="title-text">
    <w:name w:val="title-text"/>
    <w:basedOn w:val="DefaultParagraphFont"/>
    <w:qFormat/>
    <w:rsid w:val="00FB5D9D"/>
  </w:style>
  <w:style w:type="character" w:customStyle="1" w:styleId="05BHeadingChar">
    <w:name w:val="05 B Heading Char"/>
    <w:basedOn w:val="DefaultParagraphFont"/>
    <w:link w:val="05BHeading"/>
    <w:qFormat/>
    <w:rsid w:val="00FB5D9D"/>
    <w:rPr>
      <w:rFonts w:ascii="Times New Roman" w:hAnsi="Times New Roman"/>
      <w:b/>
      <w:sz w:val="18"/>
      <w:szCs w:val="18"/>
      <w:lang w:val="en-GB"/>
    </w:rPr>
  </w:style>
  <w:style w:type="character" w:customStyle="1" w:styleId="RSCB06BHeadingSub-SectionChar">
    <w:name w:val="RSC B06 B Heading (Sub-Section) Char"/>
    <w:basedOn w:val="DefaultParagraphFont"/>
    <w:qFormat/>
    <w:rsid w:val="00FB5D9D"/>
    <w:rPr>
      <w:rFonts w:asciiTheme="minorHAnsi" w:eastAsiaTheme="minorHAnsi" w:hAnsiTheme="minorHAnsi" w:cstheme="minorBidi"/>
      <w:b/>
      <w:sz w:val="18"/>
      <w:szCs w:val="22"/>
      <w:lang w:val="en-GB" w:eastAsia="en-US"/>
    </w:rPr>
  </w:style>
  <w:style w:type="character" w:customStyle="1" w:styleId="RSCI03FigureSchemeChartUncaptionedChar">
    <w:name w:val="RSC I03 Figure/Scheme/Chart Uncaptioned Char"/>
    <w:basedOn w:val="DefaultParagraphFont"/>
    <w:link w:val="RSCI03FigureSchemeChartUncaptioned"/>
    <w:qFormat/>
    <w:rsid w:val="00FB5D9D"/>
    <w:rPr>
      <w:sz w:val="16"/>
      <w:szCs w:val="16"/>
      <w:lang w:val="en-GB"/>
    </w:rPr>
  </w:style>
  <w:style w:type="character" w:customStyle="1" w:styleId="RSCI04CaptiontoFigureSchemeChartChar">
    <w:name w:val="RSC I04 Caption to Figure/Scheme/Chart Char"/>
    <w:basedOn w:val="DefaultParagraphFont"/>
    <w:link w:val="RSCI04CaptiontoFigureSchemeChart"/>
    <w:qFormat/>
    <w:rsid w:val="00FB5D9D"/>
    <w:rPr>
      <w:bCs/>
      <w:sz w:val="14"/>
      <w:szCs w:val="18"/>
      <w:lang w:val="en-GB"/>
    </w:rPr>
  </w:style>
  <w:style w:type="character" w:customStyle="1" w:styleId="HTMLPreformattedChar">
    <w:name w:val="HTML Preformatted Char"/>
    <w:basedOn w:val="DefaultParagraphFont"/>
    <w:link w:val="HTMLPreformatted"/>
    <w:uiPriority w:val="99"/>
    <w:semiHidden/>
    <w:qFormat/>
    <w:rsid w:val="00FB5D9D"/>
    <w:rPr>
      <w:rFonts w:ascii="Courier New" w:eastAsia="Times New Roman" w:hAnsi="Courier New" w:cs="Courier New"/>
      <w:lang w:eastAsia="en-GB"/>
    </w:rPr>
  </w:style>
  <w:style w:type="character" w:customStyle="1" w:styleId="y2iqfc">
    <w:name w:val="y2iqfc"/>
    <w:basedOn w:val="DefaultParagraphFont"/>
    <w:qFormat/>
    <w:rsid w:val="00FB5D9D"/>
  </w:style>
  <w:style w:type="character" w:customStyle="1" w:styleId="RSCT01TableTitlewithtopbarChar">
    <w:name w:val="RSC T01 Table Title with top bar Char"/>
    <w:basedOn w:val="DefaultParagraphFont"/>
    <w:link w:val="RSCT01TableTitlewithtopbar"/>
    <w:qFormat/>
    <w:rsid w:val="00FB5D9D"/>
    <w:rPr>
      <w:rFonts w:ascii="Times New Roman" w:eastAsia="Times New Roman" w:hAnsi="Times New Roman"/>
      <w:sz w:val="14"/>
      <w:lang w:eastAsia="en-GB"/>
    </w:rPr>
  </w:style>
  <w:style w:type="character" w:customStyle="1" w:styleId="RSCI02FigureSchemeChartwithtopbarChar">
    <w:name w:val="RSC I02 Figure/Scheme/Chart with top bar Char"/>
    <w:basedOn w:val="DefaultParagraphFont"/>
    <w:link w:val="RSCI02FigureSchemeChartwithtopbar"/>
    <w:qFormat/>
    <w:rsid w:val="00FB5D9D"/>
    <w:rPr>
      <w:rFonts w:ascii="Times New Roman" w:eastAsia="Times New Roman" w:hAnsi="Times New Roman"/>
      <w:w w:val="108"/>
      <w:sz w:val="14"/>
      <w:szCs w:val="18"/>
      <w:lang w:eastAsia="en-GB"/>
    </w:rPr>
  </w:style>
  <w:style w:type="character" w:customStyle="1" w:styleId="hlfld-contribauthor">
    <w:name w:val="hlfld-contribauthor"/>
    <w:basedOn w:val="DefaultParagraphFont"/>
    <w:qFormat/>
    <w:rsid w:val="00FB5D9D"/>
  </w:style>
  <w:style w:type="character" w:customStyle="1" w:styleId="comma-separator">
    <w:name w:val="comma-separator"/>
    <w:basedOn w:val="DefaultParagraphFont"/>
    <w:qFormat/>
    <w:rsid w:val="00FB5D9D"/>
  </w:style>
  <w:style w:type="character" w:customStyle="1" w:styleId="hlfld-title">
    <w:name w:val="hlfld-title"/>
    <w:basedOn w:val="DefaultParagraphFont"/>
    <w:qFormat/>
    <w:rsid w:val="00FB5D9D"/>
  </w:style>
  <w:style w:type="character" w:customStyle="1" w:styleId="06CHeading">
    <w:name w:val="06 C Heading"/>
    <w:basedOn w:val="RSCB02ArticleTextChar"/>
    <w:uiPriority w:val="1"/>
    <w:qFormat/>
    <w:rsid w:val="00FB5D9D"/>
    <w:rPr>
      <w:rFonts w:ascii="Times New Roman" w:eastAsia="Times New Roman" w:hAnsi="Times New Roman" w:cs="Times New Roman"/>
      <w:b/>
      <w:smallCaps/>
      <w:w w:val="108"/>
      <w:sz w:val="18"/>
      <w:szCs w:val="18"/>
      <w:lang w:val="en-GB" w:eastAsia="en-GB"/>
    </w:rPr>
  </w:style>
  <w:style w:type="character" w:customStyle="1" w:styleId="LineNumbering">
    <w:name w:val="Line Numbering"/>
    <w:rsid w:val="00FB5D9D"/>
  </w:style>
  <w:style w:type="paragraph" w:customStyle="1" w:styleId="Heading">
    <w:name w:val="Heading"/>
    <w:basedOn w:val="Normal"/>
    <w:next w:val="BodyText"/>
    <w:qFormat/>
    <w:rsid w:val="00FB5D9D"/>
    <w:pPr>
      <w:keepNext/>
      <w:spacing w:before="240" w:after="120"/>
    </w:pPr>
    <w:rPr>
      <w:rFonts w:ascii="Liberation Sans" w:eastAsia="PingFang SC" w:hAnsi="Liberation Sans" w:cs="Lucida Sans"/>
      <w:sz w:val="28"/>
      <w:szCs w:val="28"/>
    </w:rPr>
  </w:style>
  <w:style w:type="paragraph" w:styleId="BodyText">
    <w:name w:val="Body Text"/>
    <w:link w:val="BodyTextChar"/>
    <w:rsid w:val="00FB5D9D"/>
    <w:pPr>
      <w:suppressAutoHyphens/>
      <w:spacing w:after="120" w:line="340" w:lineRule="atLeast"/>
      <w:jc w:val="both"/>
    </w:pPr>
    <w:rPr>
      <w:rFonts w:ascii="Palatino Linotype" w:hAnsi="Palatino Linotype"/>
      <w:color w:val="000000"/>
      <w:sz w:val="24"/>
      <w:lang w:eastAsia="de-DE"/>
    </w:rPr>
  </w:style>
  <w:style w:type="character" w:customStyle="1" w:styleId="BodyTextChar1">
    <w:name w:val="Body Text Char1"/>
    <w:basedOn w:val="DefaultParagraphFont"/>
    <w:uiPriority w:val="99"/>
    <w:semiHidden/>
    <w:rsid w:val="00FB5D9D"/>
    <w:rPr>
      <w:rFonts w:ascii="Times New Roman" w:eastAsia="Times New Roman" w:hAnsi="Times New Roman" w:cs="Times New Roman"/>
      <w:sz w:val="24"/>
      <w:szCs w:val="24"/>
      <w:lang w:eastAsia="en-GB"/>
    </w:rPr>
  </w:style>
  <w:style w:type="paragraph" w:styleId="List">
    <w:name w:val="List"/>
    <w:basedOn w:val="BodyText"/>
    <w:rsid w:val="00FB5D9D"/>
    <w:rPr>
      <w:rFonts w:cs="Lucida Sans"/>
    </w:rPr>
  </w:style>
  <w:style w:type="paragraph" w:styleId="Caption">
    <w:name w:val="caption"/>
    <w:basedOn w:val="Normal"/>
    <w:qFormat/>
    <w:rsid w:val="00FB5D9D"/>
    <w:pPr>
      <w:suppressLineNumbers/>
      <w:spacing w:before="120" w:after="120"/>
    </w:pPr>
    <w:rPr>
      <w:rFonts w:cs="Lucida Sans"/>
      <w:i/>
      <w:iCs/>
    </w:rPr>
  </w:style>
  <w:style w:type="paragraph" w:customStyle="1" w:styleId="Index">
    <w:name w:val="Index"/>
    <w:basedOn w:val="Normal"/>
    <w:qFormat/>
    <w:rsid w:val="00FB5D9D"/>
    <w:pPr>
      <w:suppressLineNumbers/>
    </w:pPr>
    <w:rPr>
      <w:rFonts w:cs="Lucida Sans"/>
    </w:rPr>
  </w:style>
  <w:style w:type="paragraph" w:customStyle="1" w:styleId="MDPI11articletype">
    <w:name w:val="MDPI_1.1_article_type"/>
    <w:next w:val="Normal"/>
    <w:qFormat/>
    <w:rsid w:val="00FB5D9D"/>
    <w:pPr>
      <w:suppressAutoHyphens/>
      <w:snapToGrid w:val="0"/>
      <w:spacing w:before="240" w:after="0" w:line="240" w:lineRule="auto"/>
    </w:pPr>
    <w:rPr>
      <w:rFonts w:ascii="Palatino Linotype" w:eastAsia="Times New Roman" w:hAnsi="Palatino Linotype" w:cs="Times New Roman"/>
      <w:i/>
      <w:color w:val="000000"/>
      <w:sz w:val="20"/>
      <w:lang w:eastAsia="de-DE" w:bidi="en-US"/>
    </w:rPr>
  </w:style>
  <w:style w:type="paragraph" w:customStyle="1" w:styleId="MDPI12title">
    <w:name w:val="MDPI_1.2_title"/>
    <w:next w:val="Normal"/>
    <w:qFormat/>
    <w:rsid w:val="00FB5D9D"/>
    <w:pPr>
      <w:suppressAutoHyphens/>
      <w:snapToGrid w:val="0"/>
      <w:spacing w:after="240" w:line="240" w:lineRule="atLeast"/>
    </w:pPr>
    <w:rPr>
      <w:rFonts w:ascii="Palatino Linotype" w:eastAsia="Times New Roman" w:hAnsi="Palatino Linotype" w:cs="Times New Roman"/>
      <w:b/>
      <w:color w:val="000000"/>
      <w:sz w:val="36"/>
      <w:szCs w:val="20"/>
      <w:lang w:eastAsia="de-DE" w:bidi="en-US"/>
    </w:rPr>
  </w:style>
  <w:style w:type="paragraph" w:customStyle="1" w:styleId="MDPI13authornames">
    <w:name w:val="MDPI_1.3_authornames"/>
    <w:next w:val="Normal"/>
    <w:qFormat/>
    <w:rsid w:val="00FB5D9D"/>
    <w:pPr>
      <w:suppressAutoHyphens/>
      <w:snapToGrid w:val="0"/>
      <w:spacing w:after="360" w:line="260" w:lineRule="atLeast"/>
    </w:pPr>
    <w:rPr>
      <w:rFonts w:ascii="Palatino Linotype" w:eastAsia="Times New Roman" w:hAnsi="Palatino Linotype" w:cs="Times New Roman"/>
      <w:b/>
      <w:color w:val="000000"/>
      <w:sz w:val="20"/>
      <w:lang w:eastAsia="de-DE" w:bidi="en-US"/>
    </w:rPr>
  </w:style>
  <w:style w:type="paragraph" w:customStyle="1" w:styleId="MDPI14history">
    <w:name w:val="MDPI_1.4_history"/>
    <w:basedOn w:val="Normal"/>
    <w:next w:val="Normal"/>
    <w:qFormat/>
    <w:rsid w:val="00FB5D9D"/>
    <w:pPr>
      <w:snapToGrid w:val="0"/>
      <w:spacing w:line="240" w:lineRule="atLeast"/>
      <w:ind w:right="113"/>
    </w:pPr>
    <w:rPr>
      <w:rFonts w:ascii="Palatino Linotype" w:hAnsi="Palatino Linotype"/>
      <w:color w:val="000000"/>
      <w:sz w:val="14"/>
      <w:szCs w:val="20"/>
      <w:lang w:eastAsia="de-DE" w:bidi="en-US"/>
    </w:rPr>
  </w:style>
  <w:style w:type="paragraph" w:customStyle="1" w:styleId="MDPI16affiliation">
    <w:name w:val="MDPI_1.6_affiliation"/>
    <w:qFormat/>
    <w:rsid w:val="00FB5D9D"/>
    <w:pPr>
      <w:suppressAutoHyphens/>
      <w:snapToGrid w:val="0"/>
      <w:spacing w:after="0" w:line="200" w:lineRule="atLeast"/>
      <w:ind w:left="2806" w:hanging="198"/>
    </w:pPr>
    <w:rPr>
      <w:rFonts w:ascii="Palatino Linotype" w:eastAsia="Times New Roman" w:hAnsi="Palatino Linotype" w:cs="Times New Roman"/>
      <w:color w:val="000000"/>
      <w:sz w:val="16"/>
      <w:szCs w:val="18"/>
      <w:lang w:eastAsia="de-DE" w:bidi="en-US"/>
    </w:rPr>
  </w:style>
  <w:style w:type="paragraph" w:customStyle="1" w:styleId="MDPI17abstract">
    <w:name w:val="MDPI_1.7_abstract"/>
    <w:next w:val="Normal"/>
    <w:qFormat/>
    <w:rsid w:val="00FB5D9D"/>
    <w:pPr>
      <w:suppressAutoHyphens/>
      <w:snapToGrid w:val="0"/>
      <w:spacing w:before="240" w:after="0" w:line="260" w:lineRule="atLeast"/>
      <w:ind w:left="2608"/>
      <w:jc w:val="both"/>
    </w:pPr>
    <w:rPr>
      <w:rFonts w:ascii="Palatino Linotype" w:eastAsia="Times New Roman" w:hAnsi="Palatino Linotype" w:cs="Times New Roman"/>
      <w:color w:val="000000"/>
      <w:sz w:val="18"/>
      <w:lang w:eastAsia="de-DE" w:bidi="en-US"/>
    </w:rPr>
  </w:style>
  <w:style w:type="paragraph" w:customStyle="1" w:styleId="MDPI18keywords">
    <w:name w:val="MDPI_1.8_keywords"/>
    <w:next w:val="Normal"/>
    <w:qFormat/>
    <w:rsid w:val="00FB5D9D"/>
    <w:pPr>
      <w:suppressAutoHyphens/>
      <w:snapToGrid w:val="0"/>
      <w:spacing w:before="240" w:after="0" w:line="260" w:lineRule="atLeast"/>
      <w:ind w:left="2608"/>
      <w:jc w:val="both"/>
    </w:pPr>
    <w:rPr>
      <w:rFonts w:ascii="Palatino Linotype" w:eastAsia="Times New Roman" w:hAnsi="Palatino Linotype" w:cs="Times New Roman"/>
      <w:color w:val="000000"/>
      <w:sz w:val="18"/>
      <w:lang w:eastAsia="de-DE" w:bidi="en-US"/>
    </w:rPr>
  </w:style>
  <w:style w:type="paragraph" w:customStyle="1" w:styleId="MDPI19line">
    <w:name w:val="MDPI_1.9_line"/>
    <w:qFormat/>
    <w:rsid w:val="00FB5D9D"/>
    <w:pPr>
      <w:pBdr>
        <w:bottom w:val="single" w:sz="6" w:space="1" w:color="000000"/>
      </w:pBdr>
      <w:suppressAutoHyphens/>
      <w:snapToGrid w:val="0"/>
      <w:spacing w:after="480" w:line="260" w:lineRule="atLeast"/>
      <w:ind w:left="2608"/>
      <w:jc w:val="both"/>
    </w:pPr>
    <w:rPr>
      <w:rFonts w:ascii="Palatino Linotype" w:eastAsia="Times New Roman" w:hAnsi="Palatino Linotype" w:cs="Cordia New"/>
      <w:color w:val="000000"/>
      <w:sz w:val="20"/>
      <w:szCs w:val="24"/>
      <w:lang w:eastAsia="de-DE" w:bidi="en-US"/>
    </w:rPr>
  </w:style>
  <w:style w:type="paragraph" w:customStyle="1" w:styleId="HeaderandFooter">
    <w:name w:val="Header and Footer"/>
    <w:basedOn w:val="Normal"/>
    <w:qFormat/>
    <w:rsid w:val="00FB5D9D"/>
  </w:style>
  <w:style w:type="paragraph" w:styleId="Footer">
    <w:name w:val="footer"/>
    <w:basedOn w:val="Normal"/>
    <w:link w:val="FooterChar"/>
    <w:uiPriority w:val="99"/>
    <w:rsid w:val="00FB5D9D"/>
    <w:pPr>
      <w:suppressLineNumbers/>
      <w:tabs>
        <w:tab w:val="center" w:pos="4153"/>
        <w:tab w:val="right" w:pos="8306"/>
      </w:tabs>
      <w:snapToGrid w:val="0"/>
      <w:spacing w:line="240" w:lineRule="atLeast"/>
      <w:jc w:val="both"/>
    </w:pPr>
    <w:rPr>
      <w:rFonts w:ascii="Palatino Linotype" w:eastAsiaTheme="minorHAnsi" w:hAnsi="Palatino Linotype" w:cstheme="minorBidi"/>
      <w:color w:val="000000"/>
      <w:sz w:val="22"/>
      <w:szCs w:val="18"/>
      <w:lang w:eastAsia="en-US"/>
    </w:rPr>
  </w:style>
  <w:style w:type="character" w:customStyle="1" w:styleId="FooterChar1">
    <w:name w:val="Footer Char1"/>
    <w:basedOn w:val="DefaultParagraphFont"/>
    <w:uiPriority w:val="99"/>
    <w:semiHidden/>
    <w:rsid w:val="00FB5D9D"/>
    <w:rPr>
      <w:rFonts w:ascii="Times New Roman" w:eastAsia="Times New Roman" w:hAnsi="Times New Roman" w:cs="Times New Roman"/>
      <w:sz w:val="24"/>
      <w:szCs w:val="24"/>
      <w:lang w:eastAsia="en-GB"/>
    </w:rPr>
  </w:style>
  <w:style w:type="paragraph" w:styleId="Header">
    <w:name w:val="header"/>
    <w:basedOn w:val="Normal"/>
    <w:link w:val="HeaderChar"/>
    <w:uiPriority w:val="99"/>
    <w:rsid w:val="00FB5D9D"/>
    <w:pPr>
      <w:suppressLineNumbers/>
      <w:pBdr>
        <w:bottom w:val="single" w:sz="6" w:space="1" w:color="000000"/>
      </w:pBdr>
      <w:tabs>
        <w:tab w:val="center" w:pos="4153"/>
        <w:tab w:val="right" w:pos="8306"/>
      </w:tabs>
      <w:snapToGrid w:val="0"/>
      <w:spacing w:line="240" w:lineRule="atLeast"/>
      <w:jc w:val="center"/>
    </w:pPr>
    <w:rPr>
      <w:rFonts w:ascii="Palatino Linotype" w:eastAsiaTheme="minorHAnsi" w:hAnsi="Palatino Linotype" w:cstheme="minorBidi"/>
      <w:color w:val="000000"/>
      <w:sz w:val="22"/>
      <w:szCs w:val="18"/>
      <w:lang w:eastAsia="en-US"/>
    </w:rPr>
  </w:style>
  <w:style w:type="character" w:customStyle="1" w:styleId="HeaderChar1">
    <w:name w:val="Header Char1"/>
    <w:basedOn w:val="DefaultParagraphFont"/>
    <w:uiPriority w:val="99"/>
    <w:semiHidden/>
    <w:rsid w:val="00FB5D9D"/>
    <w:rPr>
      <w:rFonts w:ascii="Times New Roman" w:eastAsia="Times New Roman" w:hAnsi="Times New Roman" w:cs="Times New Roman"/>
      <w:sz w:val="24"/>
      <w:szCs w:val="24"/>
      <w:lang w:eastAsia="en-GB"/>
    </w:rPr>
  </w:style>
  <w:style w:type="paragraph" w:customStyle="1" w:styleId="MDPIheaderjournallogo">
    <w:name w:val="MDPI_header_journal_logo"/>
    <w:qFormat/>
    <w:rsid w:val="00FB5D9D"/>
    <w:pPr>
      <w:suppressAutoHyphens/>
      <w:snapToGrid w:val="0"/>
      <w:spacing w:after="0" w:line="260" w:lineRule="atLeast"/>
      <w:jc w:val="both"/>
    </w:pPr>
    <w:rPr>
      <w:rFonts w:ascii="Palatino Linotype" w:eastAsia="Times New Roman" w:hAnsi="Palatino Linotype" w:cs="Times New Roman"/>
      <w:i/>
      <w:color w:val="000000"/>
      <w:sz w:val="24"/>
      <w:lang w:eastAsia="de-CH"/>
    </w:rPr>
  </w:style>
  <w:style w:type="paragraph" w:customStyle="1" w:styleId="MDPI32textnoindent">
    <w:name w:val="MDPI_3.2_text_no_indent"/>
    <w:basedOn w:val="MDPI31text"/>
    <w:qFormat/>
    <w:rsid w:val="00FB5D9D"/>
    <w:pPr>
      <w:ind w:firstLine="0"/>
    </w:pPr>
  </w:style>
  <w:style w:type="paragraph" w:customStyle="1" w:styleId="MDPI31text">
    <w:name w:val="MDPI_3.1_text"/>
    <w:qFormat/>
    <w:rsid w:val="00FB5D9D"/>
    <w:pPr>
      <w:suppressAutoHyphens/>
      <w:snapToGrid w:val="0"/>
      <w:spacing w:after="0" w:line="228" w:lineRule="auto"/>
      <w:ind w:left="2608" w:firstLine="425"/>
      <w:jc w:val="both"/>
    </w:pPr>
    <w:rPr>
      <w:rFonts w:ascii="Palatino Linotype" w:eastAsia="Times New Roman" w:hAnsi="Palatino Linotype" w:cs="Times New Roman"/>
      <w:color w:val="000000"/>
      <w:sz w:val="20"/>
      <w:lang w:eastAsia="de-DE" w:bidi="en-US"/>
    </w:rPr>
  </w:style>
  <w:style w:type="paragraph" w:customStyle="1" w:styleId="MDPI33textspaceafter">
    <w:name w:val="MDPI_3.3_text_space_after"/>
    <w:qFormat/>
    <w:rsid w:val="00FB5D9D"/>
    <w:pPr>
      <w:suppressAutoHyphens/>
      <w:snapToGrid w:val="0"/>
      <w:spacing w:after="240" w:line="228" w:lineRule="auto"/>
      <w:ind w:left="2608"/>
      <w:jc w:val="both"/>
    </w:pPr>
    <w:rPr>
      <w:rFonts w:ascii="Palatino Linotype" w:eastAsia="Times New Roman" w:hAnsi="Palatino Linotype" w:cs="Times New Roman"/>
      <w:color w:val="000000"/>
      <w:sz w:val="20"/>
      <w:lang w:eastAsia="de-DE" w:bidi="en-US"/>
    </w:rPr>
  </w:style>
  <w:style w:type="paragraph" w:customStyle="1" w:styleId="MDPI34textspacebefore">
    <w:name w:val="MDPI_3.4_text_space_before"/>
    <w:qFormat/>
    <w:rsid w:val="00FB5D9D"/>
    <w:pPr>
      <w:suppressAutoHyphens/>
      <w:snapToGrid w:val="0"/>
      <w:spacing w:before="240" w:after="0" w:line="228" w:lineRule="auto"/>
      <w:ind w:left="2608"/>
      <w:jc w:val="both"/>
    </w:pPr>
    <w:rPr>
      <w:rFonts w:ascii="Palatino Linotype" w:eastAsia="Times New Roman" w:hAnsi="Palatino Linotype" w:cs="Times New Roman"/>
      <w:color w:val="000000"/>
      <w:sz w:val="20"/>
      <w:lang w:eastAsia="de-DE" w:bidi="en-US"/>
    </w:rPr>
  </w:style>
  <w:style w:type="paragraph" w:customStyle="1" w:styleId="MDPI35textbeforelist">
    <w:name w:val="MDPI_3.5_text_before_list"/>
    <w:qFormat/>
    <w:rsid w:val="00FB5D9D"/>
    <w:pPr>
      <w:suppressAutoHyphens/>
      <w:snapToGrid w:val="0"/>
      <w:spacing w:after="0" w:line="228" w:lineRule="auto"/>
      <w:ind w:left="2608" w:firstLine="425"/>
      <w:jc w:val="both"/>
    </w:pPr>
    <w:rPr>
      <w:rFonts w:ascii="Palatino Linotype" w:eastAsia="Times New Roman" w:hAnsi="Palatino Linotype" w:cs="Times New Roman"/>
      <w:color w:val="000000"/>
      <w:sz w:val="20"/>
      <w:lang w:eastAsia="de-DE" w:bidi="en-US"/>
    </w:rPr>
  </w:style>
  <w:style w:type="paragraph" w:customStyle="1" w:styleId="MDPI36textafterlist">
    <w:name w:val="MDPI_3.6_text_after_list"/>
    <w:qFormat/>
    <w:rsid w:val="00FB5D9D"/>
    <w:pPr>
      <w:suppressAutoHyphens/>
      <w:snapToGrid w:val="0"/>
      <w:spacing w:before="120" w:after="0" w:line="228" w:lineRule="auto"/>
      <w:ind w:left="2608"/>
      <w:jc w:val="both"/>
    </w:pPr>
    <w:rPr>
      <w:rFonts w:ascii="Palatino Linotype" w:eastAsia="Times New Roman" w:hAnsi="Palatino Linotype" w:cs="Times New Roman"/>
      <w:color w:val="000000"/>
      <w:sz w:val="20"/>
      <w:lang w:eastAsia="de-DE" w:bidi="en-US"/>
    </w:rPr>
  </w:style>
  <w:style w:type="paragraph" w:customStyle="1" w:styleId="MDPI37itemize">
    <w:name w:val="MDPI_3.7_itemize"/>
    <w:qFormat/>
    <w:rsid w:val="00FB5D9D"/>
    <w:pPr>
      <w:numPr>
        <w:numId w:val="2"/>
      </w:numPr>
      <w:suppressAutoHyphens/>
      <w:snapToGrid w:val="0"/>
      <w:spacing w:after="0" w:line="228" w:lineRule="auto"/>
      <w:jc w:val="both"/>
    </w:pPr>
    <w:rPr>
      <w:rFonts w:ascii="Palatino Linotype" w:eastAsia="Times New Roman" w:hAnsi="Palatino Linotype" w:cs="Times New Roman"/>
      <w:color w:val="000000"/>
      <w:sz w:val="20"/>
      <w:lang w:eastAsia="de-DE" w:bidi="en-US"/>
    </w:rPr>
  </w:style>
  <w:style w:type="paragraph" w:customStyle="1" w:styleId="MDPI38bullet">
    <w:name w:val="MDPI_3.8_bullet"/>
    <w:qFormat/>
    <w:rsid w:val="00FB5D9D"/>
    <w:pPr>
      <w:numPr>
        <w:numId w:val="3"/>
      </w:numPr>
      <w:suppressAutoHyphens/>
      <w:snapToGrid w:val="0"/>
      <w:spacing w:after="0" w:line="228" w:lineRule="auto"/>
      <w:jc w:val="both"/>
    </w:pPr>
    <w:rPr>
      <w:rFonts w:ascii="Palatino Linotype" w:eastAsia="Times New Roman" w:hAnsi="Palatino Linotype" w:cs="Times New Roman"/>
      <w:color w:val="000000"/>
      <w:sz w:val="20"/>
      <w:lang w:eastAsia="de-DE" w:bidi="en-US"/>
    </w:rPr>
  </w:style>
  <w:style w:type="paragraph" w:customStyle="1" w:styleId="MDPI39equation">
    <w:name w:val="MDPI_3.9_equation"/>
    <w:qFormat/>
    <w:rsid w:val="00FB5D9D"/>
    <w:pPr>
      <w:suppressAutoHyphens/>
      <w:snapToGrid w:val="0"/>
      <w:spacing w:before="120" w:after="120" w:line="260" w:lineRule="atLeast"/>
      <w:ind w:left="709"/>
      <w:jc w:val="center"/>
    </w:pPr>
    <w:rPr>
      <w:rFonts w:ascii="Palatino Linotype" w:eastAsia="Times New Roman" w:hAnsi="Palatino Linotype" w:cs="Times New Roman"/>
      <w:color w:val="000000"/>
      <w:sz w:val="20"/>
      <w:lang w:eastAsia="de-DE" w:bidi="en-US"/>
    </w:rPr>
  </w:style>
  <w:style w:type="paragraph" w:customStyle="1" w:styleId="MDPI3aequationnumber">
    <w:name w:val="MDPI_3.a_equation_number"/>
    <w:qFormat/>
    <w:rsid w:val="00FB5D9D"/>
    <w:pPr>
      <w:suppressAutoHyphens/>
      <w:spacing w:before="120" w:after="120" w:line="240" w:lineRule="auto"/>
      <w:jc w:val="right"/>
    </w:pPr>
    <w:rPr>
      <w:rFonts w:ascii="Palatino Linotype" w:eastAsia="Times New Roman" w:hAnsi="Palatino Linotype" w:cs="Times New Roman"/>
      <w:color w:val="000000"/>
      <w:sz w:val="20"/>
      <w:lang w:eastAsia="de-DE" w:bidi="en-US"/>
    </w:rPr>
  </w:style>
  <w:style w:type="paragraph" w:customStyle="1" w:styleId="MDPI41tablecaption">
    <w:name w:val="MDPI_4.1_table_caption"/>
    <w:qFormat/>
    <w:rsid w:val="00FB5D9D"/>
    <w:pPr>
      <w:suppressAutoHyphens/>
      <w:snapToGrid w:val="0"/>
      <w:spacing w:before="240" w:after="120" w:line="228" w:lineRule="auto"/>
      <w:ind w:left="2608"/>
    </w:pPr>
    <w:rPr>
      <w:rFonts w:ascii="Palatino Linotype" w:eastAsia="Times New Roman" w:hAnsi="Palatino Linotype" w:cs="Cordia New"/>
      <w:color w:val="000000"/>
      <w:sz w:val="18"/>
      <w:lang w:eastAsia="de-DE" w:bidi="en-US"/>
    </w:rPr>
  </w:style>
  <w:style w:type="paragraph" w:customStyle="1" w:styleId="MDPI42tablebody">
    <w:name w:val="MDPI_4.2_table_body"/>
    <w:qFormat/>
    <w:rsid w:val="00FB5D9D"/>
    <w:pPr>
      <w:suppressAutoHyphens/>
      <w:snapToGrid w:val="0"/>
      <w:spacing w:after="0" w:line="260" w:lineRule="atLeast"/>
      <w:jc w:val="center"/>
    </w:pPr>
    <w:rPr>
      <w:rFonts w:ascii="Palatino Linotype" w:eastAsia="Times New Roman" w:hAnsi="Palatino Linotype" w:cs="Times New Roman"/>
      <w:color w:val="000000"/>
      <w:sz w:val="20"/>
      <w:szCs w:val="20"/>
      <w:lang w:eastAsia="de-DE" w:bidi="en-US"/>
    </w:rPr>
  </w:style>
  <w:style w:type="paragraph" w:customStyle="1" w:styleId="MDPI43tablefooter">
    <w:name w:val="MDPI_4.3_table_footer"/>
    <w:next w:val="MDPI31text"/>
    <w:qFormat/>
    <w:rsid w:val="00FB5D9D"/>
    <w:pPr>
      <w:suppressAutoHyphens/>
      <w:snapToGrid w:val="0"/>
      <w:spacing w:after="0" w:line="228" w:lineRule="auto"/>
      <w:ind w:left="2608"/>
    </w:pPr>
    <w:rPr>
      <w:rFonts w:ascii="Palatino Linotype" w:eastAsia="Times New Roman" w:hAnsi="Palatino Linotype" w:cs="Cordia New"/>
      <w:color w:val="000000"/>
      <w:sz w:val="18"/>
      <w:lang w:eastAsia="de-DE" w:bidi="en-US"/>
    </w:rPr>
  </w:style>
  <w:style w:type="paragraph" w:customStyle="1" w:styleId="MDPI51figurecaption">
    <w:name w:val="MDPI_5.1_figure_caption"/>
    <w:qFormat/>
    <w:rsid w:val="00FB5D9D"/>
    <w:pPr>
      <w:suppressAutoHyphens/>
      <w:snapToGrid w:val="0"/>
      <w:spacing w:before="120" w:after="240" w:line="228" w:lineRule="auto"/>
      <w:ind w:left="2608"/>
    </w:pPr>
    <w:rPr>
      <w:rFonts w:ascii="Palatino Linotype" w:eastAsia="Times New Roman" w:hAnsi="Palatino Linotype" w:cs="Times New Roman"/>
      <w:color w:val="000000"/>
      <w:sz w:val="18"/>
      <w:szCs w:val="20"/>
      <w:lang w:eastAsia="de-DE" w:bidi="en-US"/>
    </w:rPr>
  </w:style>
  <w:style w:type="paragraph" w:customStyle="1" w:styleId="MDPI52figure">
    <w:name w:val="MDPI_5.2_figure"/>
    <w:qFormat/>
    <w:rsid w:val="00FB5D9D"/>
    <w:pPr>
      <w:suppressAutoHyphens/>
      <w:snapToGrid w:val="0"/>
      <w:spacing w:before="240" w:after="120" w:line="240" w:lineRule="auto"/>
      <w:jc w:val="center"/>
    </w:pPr>
    <w:rPr>
      <w:rFonts w:ascii="Palatino Linotype" w:eastAsia="Times New Roman" w:hAnsi="Palatino Linotype" w:cs="Times New Roman"/>
      <w:color w:val="000000"/>
      <w:sz w:val="20"/>
      <w:szCs w:val="20"/>
      <w:lang w:eastAsia="de-DE" w:bidi="en-US"/>
    </w:rPr>
  </w:style>
  <w:style w:type="paragraph" w:customStyle="1" w:styleId="MDPI81theorem">
    <w:name w:val="MDPI_8.1_theorem"/>
    <w:qFormat/>
    <w:rsid w:val="00FB5D9D"/>
    <w:pPr>
      <w:suppressAutoHyphens/>
      <w:snapToGrid w:val="0"/>
      <w:spacing w:after="0" w:line="228" w:lineRule="auto"/>
      <w:ind w:left="2608"/>
      <w:jc w:val="both"/>
    </w:pPr>
    <w:rPr>
      <w:rFonts w:ascii="Palatino Linotype" w:eastAsia="Times New Roman" w:hAnsi="Palatino Linotype" w:cs="Times New Roman"/>
      <w:i/>
      <w:color w:val="000000"/>
      <w:sz w:val="20"/>
      <w:lang w:eastAsia="de-DE" w:bidi="en-US"/>
    </w:rPr>
  </w:style>
  <w:style w:type="paragraph" w:customStyle="1" w:styleId="MDPI82proof">
    <w:name w:val="MDPI_8.2_proof"/>
    <w:qFormat/>
    <w:rsid w:val="00FB5D9D"/>
    <w:pPr>
      <w:suppressAutoHyphens/>
      <w:snapToGrid w:val="0"/>
      <w:spacing w:after="0" w:line="228" w:lineRule="auto"/>
      <w:ind w:left="2608"/>
      <w:jc w:val="both"/>
    </w:pPr>
    <w:rPr>
      <w:rFonts w:ascii="Palatino Linotype" w:eastAsia="Times New Roman" w:hAnsi="Palatino Linotype" w:cs="Times New Roman"/>
      <w:color w:val="000000"/>
      <w:sz w:val="20"/>
      <w:lang w:eastAsia="de-DE" w:bidi="en-US"/>
    </w:rPr>
  </w:style>
  <w:style w:type="paragraph" w:customStyle="1" w:styleId="MDPI23heading3">
    <w:name w:val="MDPI_2.3_heading3"/>
    <w:qFormat/>
    <w:rsid w:val="00FB5D9D"/>
    <w:pPr>
      <w:suppressAutoHyphens/>
      <w:snapToGrid w:val="0"/>
      <w:spacing w:before="60" w:after="60" w:line="228" w:lineRule="auto"/>
      <w:ind w:left="2608"/>
      <w:outlineLvl w:val="2"/>
    </w:pPr>
    <w:rPr>
      <w:rFonts w:ascii="Palatino Linotype" w:eastAsia="Times New Roman" w:hAnsi="Palatino Linotype" w:cs="Times New Roman"/>
      <w:color w:val="000000"/>
      <w:sz w:val="20"/>
      <w:lang w:eastAsia="de-DE" w:bidi="en-US"/>
    </w:rPr>
  </w:style>
  <w:style w:type="paragraph" w:customStyle="1" w:styleId="MDPI21heading1">
    <w:name w:val="MDPI_2.1_heading1"/>
    <w:qFormat/>
    <w:rsid w:val="00FB5D9D"/>
    <w:pPr>
      <w:suppressAutoHyphens/>
      <w:snapToGrid w:val="0"/>
      <w:spacing w:before="240" w:after="60" w:line="228" w:lineRule="auto"/>
      <w:ind w:left="2608"/>
      <w:outlineLvl w:val="0"/>
    </w:pPr>
    <w:rPr>
      <w:rFonts w:ascii="Palatino Linotype" w:eastAsia="Times New Roman" w:hAnsi="Palatino Linotype" w:cs="Times New Roman"/>
      <w:b/>
      <w:color w:val="000000"/>
      <w:sz w:val="20"/>
      <w:lang w:eastAsia="de-DE" w:bidi="en-US"/>
    </w:rPr>
  </w:style>
  <w:style w:type="paragraph" w:customStyle="1" w:styleId="MDPI22heading2">
    <w:name w:val="MDPI_2.2_heading2"/>
    <w:qFormat/>
    <w:rsid w:val="00FB5D9D"/>
    <w:pPr>
      <w:suppressAutoHyphens/>
      <w:snapToGrid w:val="0"/>
      <w:spacing w:before="60" w:after="60" w:line="228" w:lineRule="auto"/>
      <w:ind w:left="2608"/>
      <w:outlineLvl w:val="1"/>
    </w:pPr>
    <w:rPr>
      <w:rFonts w:ascii="Palatino Linotype" w:eastAsia="Times New Roman" w:hAnsi="Palatino Linotype" w:cs="Times New Roman"/>
      <w:i/>
      <w:color w:val="000000"/>
      <w:sz w:val="20"/>
      <w:lang w:eastAsia="de-DE" w:bidi="en-US"/>
    </w:rPr>
  </w:style>
  <w:style w:type="paragraph" w:customStyle="1" w:styleId="MDPI71References">
    <w:name w:val="MDPI_7.1_References"/>
    <w:qFormat/>
    <w:rsid w:val="00FB5D9D"/>
    <w:pPr>
      <w:numPr>
        <w:numId w:val="4"/>
      </w:numPr>
      <w:suppressAutoHyphens/>
      <w:snapToGrid w:val="0"/>
      <w:spacing w:after="0" w:line="228" w:lineRule="auto"/>
      <w:jc w:val="both"/>
    </w:pPr>
    <w:rPr>
      <w:rFonts w:ascii="Palatino Linotype" w:eastAsia="Times New Roman" w:hAnsi="Palatino Linotype" w:cs="Times New Roman"/>
      <w:color w:val="000000"/>
      <w:sz w:val="18"/>
      <w:szCs w:val="20"/>
      <w:lang w:eastAsia="de-DE" w:bidi="en-US"/>
    </w:rPr>
  </w:style>
  <w:style w:type="paragraph" w:styleId="BalloonText">
    <w:name w:val="Balloon Text"/>
    <w:basedOn w:val="Normal"/>
    <w:link w:val="BalloonTextChar"/>
    <w:uiPriority w:val="99"/>
    <w:qFormat/>
    <w:rsid w:val="00FB5D9D"/>
    <w:pPr>
      <w:spacing w:line="260" w:lineRule="atLeast"/>
      <w:jc w:val="both"/>
    </w:pPr>
    <w:rPr>
      <w:rFonts w:ascii="Palatino Linotype" w:eastAsiaTheme="minorHAnsi" w:hAnsi="Palatino Linotype" w:cs="Tahoma"/>
      <w:color w:val="000000"/>
      <w:sz w:val="22"/>
      <w:szCs w:val="18"/>
      <w:lang w:eastAsia="en-US"/>
    </w:rPr>
  </w:style>
  <w:style w:type="character" w:customStyle="1" w:styleId="BalloonTextChar1">
    <w:name w:val="Balloon Text Char1"/>
    <w:basedOn w:val="DefaultParagraphFont"/>
    <w:uiPriority w:val="99"/>
    <w:semiHidden/>
    <w:rsid w:val="00FB5D9D"/>
    <w:rPr>
      <w:rFonts w:ascii="Segoe UI" w:eastAsia="Times New Roman" w:hAnsi="Segoe UI" w:cs="Segoe UI"/>
      <w:sz w:val="18"/>
      <w:szCs w:val="18"/>
      <w:lang w:eastAsia="en-GB"/>
    </w:rPr>
  </w:style>
  <w:style w:type="paragraph" w:customStyle="1" w:styleId="MDPI61Citation">
    <w:name w:val="MDPI_6.1_Citation"/>
    <w:qFormat/>
    <w:rsid w:val="00FB5D9D"/>
    <w:pPr>
      <w:suppressAutoHyphens/>
      <w:snapToGrid w:val="0"/>
      <w:spacing w:after="0" w:line="240" w:lineRule="atLeast"/>
      <w:ind w:right="113"/>
    </w:pPr>
    <w:rPr>
      <w:rFonts w:ascii="Palatino Linotype" w:eastAsia="SimSun" w:hAnsi="Palatino Linotype" w:cs="Cordia New"/>
      <w:sz w:val="14"/>
      <w:lang w:eastAsia="zh-CN"/>
    </w:rPr>
  </w:style>
  <w:style w:type="paragraph" w:customStyle="1" w:styleId="MDPI62BackMatter">
    <w:name w:val="MDPI_6.2_BackMatter"/>
    <w:qFormat/>
    <w:rsid w:val="00FB5D9D"/>
    <w:pPr>
      <w:suppressAutoHyphens/>
      <w:snapToGrid w:val="0"/>
      <w:spacing w:after="120" w:line="228" w:lineRule="auto"/>
      <w:ind w:left="2608"/>
      <w:jc w:val="both"/>
    </w:pPr>
    <w:rPr>
      <w:rFonts w:ascii="Palatino Linotype" w:eastAsia="Times New Roman" w:hAnsi="Palatino Linotype" w:cs="Times New Roman"/>
      <w:color w:val="000000"/>
      <w:sz w:val="18"/>
      <w:szCs w:val="20"/>
      <w:lang w:bidi="en-US"/>
    </w:rPr>
  </w:style>
  <w:style w:type="paragraph" w:customStyle="1" w:styleId="MDPI63Notes">
    <w:name w:val="MDPI_6.3_Notes"/>
    <w:qFormat/>
    <w:rsid w:val="00FB5D9D"/>
    <w:pPr>
      <w:suppressAutoHyphens/>
      <w:snapToGrid w:val="0"/>
      <w:spacing w:after="120" w:line="240" w:lineRule="atLeast"/>
      <w:ind w:right="113"/>
    </w:pPr>
    <w:rPr>
      <w:rFonts w:ascii="Palatino Linotype" w:eastAsia="SimSun" w:hAnsi="Palatino Linotype" w:cs="Times New Roman"/>
      <w:color w:val="000000"/>
      <w:sz w:val="14"/>
      <w:szCs w:val="20"/>
      <w:lang w:bidi="en-US"/>
    </w:rPr>
  </w:style>
  <w:style w:type="paragraph" w:customStyle="1" w:styleId="MDPI15academiceditor">
    <w:name w:val="MDPI_1.5_academic_editor"/>
    <w:qFormat/>
    <w:rsid w:val="00FB5D9D"/>
    <w:pPr>
      <w:suppressAutoHyphens/>
      <w:snapToGrid w:val="0"/>
      <w:spacing w:before="240" w:after="0" w:line="240" w:lineRule="atLeast"/>
      <w:ind w:right="113"/>
    </w:pPr>
    <w:rPr>
      <w:rFonts w:ascii="Palatino Linotype" w:eastAsia="Times New Roman" w:hAnsi="Palatino Linotype" w:cs="Times New Roman"/>
      <w:color w:val="000000"/>
      <w:sz w:val="14"/>
      <w:lang w:eastAsia="de-DE" w:bidi="en-US"/>
    </w:rPr>
  </w:style>
  <w:style w:type="paragraph" w:customStyle="1" w:styleId="MDPI19classification">
    <w:name w:val="MDPI_1.9_classification"/>
    <w:qFormat/>
    <w:rsid w:val="00FB5D9D"/>
    <w:pPr>
      <w:suppressAutoHyphens/>
      <w:spacing w:before="240" w:after="0" w:line="260" w:lineRule="atLeast"/>
      <w:ind w:left="113"/>
      <w:jc w:val="both"/>
    </w:pPr>
    <w:rPr>
      <w:rFonts w:ascii="Palatino Linotype" w:eastAsia="Times New Roman" w:hAnsi="Palatino Linotype" w:cs="Times New Roman"/>
      <w:b/>
      <w:color w:val="000000"/>
      <w:sz w:val="20"/>
      <w:lang w:eastAsia="de-DE" w:bidi="en-US"/>
    </w:rPr>
  </w:style>
  <w:style w:type="paragraph" w:customStyle="1" w:styleId="MDPI411onetablecaption">
    <w:name w:val="MDPI_4.1.1_one_table_caption"/>
    <w:qFormat/>
    <w:rsid w:val="00FB5D9D"/>
    <w:pPr>
      <w:suppressAutoHyphens/>
      <w:snapToGrid w:val="0"/>
      <w:spacing w:before="240" w:after="120" w:line="260" w:lineRule="atLeast"/>
      <w:jc w:val="center"/>
    </w:pPr>
    <w:rPr>
      <w:rFonts w:ascii="Palatino Linotype" w:eastAsia="SimSun" w:hAnsi="Palatino Linotype" w:cs="Cordia New"/>
      <w:color w:val="000000"/>
      <w:sz w:val="18"/>
      <w:lang w:eastAsia="zh-CN" w:bidi="en-US"/>
    </w:rPr>
  </w:style>
  <w:style w:type="paragraph" w:customStyle="1" w:styleId="MDPI511onefigurecaption">
    <w:name w:val="MDPI_5.1.1_one_figure_caption"/>
    <w:qFormat/>
    <w:rsid w:val="00FB5D9D"/>
    <w:pPr>
      <w:suppressAutoHyphens/>
      <w:snapToGrid w:val="0"/>
      <w:spacing w:before="240" w:after="120" w:line="260" w:lineRule="atLeast"/>
      <w:jc w:val="center"/>
    </w:pPr>
    <w:rPr>
      <w:rFonts w:ascii="Palatino Linotype" w:eastAsia="SimSun" w:hAnsi="Palatino Linotype" w:cs="Times New Roman"/>
      <w:color w:val="000000"/>
      <w:sz w:val="18"/>
      <w:szCs w:val="20"/>
      <w:lang w:eastAsia="zh-CN" w:bidi="en-US"/>
    </w:rPr>
  </w:style>
  <w:style w:type="paragraph" w:customStyle="1" w:styleId="MDPI72Copyright">
    <w:name w:val="MDPI_7.2_Copyright"/>
    <w:qFormat/>
    <w:rsid w:val="00FB5D9D"/>
    <w:pPr>
      <w:suppressAutoHyphens/>
      <w:snapToGrid w:val="0"/>
      <w:spacing w:before="240" w:after="0" w:line="240" w:lineRule="atLeast"/>
      <w:ind w:right="113"/>
    </w:pPr>
    <w:rPr>
      <w:rFonts w:ascii="Palatino Linotype" w:eastAsia="Times New Roman" w:hAnsi="Palatino Linotype" w:cs="Times New Roman"/>
      <w:color w:val="000000"/>
      <w:spacing w:val="-2"/>
      <w:sz w:val="14"/>
      <w:szCs w:val="20"/>
      <w:lang w:val="en-GB" w:eastAsia="en-GB"/>
    </w:rPr>
  </w:style>
  <w:style w:type="paragraph" w:customStyle="1" w:styleId="MDPI73CopyrightImage">
    <w:name w:val="MDPI_7.3_CopyrightImage"/>
    <w:qFormat/>
    <w:rsid w:val="00FB5D9D"/>
    <w:pPr>
      <w:suppressAutoHyphens/>
      <w:snapToGrid w:val="0"/>
      <w:spacing w:after="100" w:line="260" w:lineRule="atLeast"/>
      <w:jc w:val="right"/>
    </w:pPr>
    <w:rPr>
      <w:rFonts w:ascii="Palatino Linotype" w:eastAsia="Times New Roman" w:hAnsi="Palatino Linotype" w:cs="Times New Roman"/>
      <w:color w:val="000000"/>
      <w:sz w:val="20"/>
      <w:szCs w:val="20"/>
      <w:lang w:eastAsia="de-CH"/>
    </w:rPr>
  </w:style>
  <w:style w:type="paragraph" w:customStyle="1" w:styleId="MDPIequationFram">
    <w:name w:val="MDPI_equationFram"/>
    <w:qFormat/>
    <w:rsid w:val="00FB5D9D"/>
    <w:pPr>
      <w:suppressAutoHyphens/>
      <w:snapToGrid w:val="0"/>
      <w:spacing w:before="120" w:after="120" w:line="240" w:lineRule="auto"/>
      <w:jc w:val="center"/>
    </w:pPr>
    <w:rPr>
      <w:rFonts w:ascii="Palatino Linotype" w:eastAsia="Times New Roman" w:hAnsi="Palatino Linotype" w:cs="Times New Roman"/>
      <w:color w:val="000000"/>
      <w:sz w:val="20"/>
      <w:lang w:eastAsia="de-DE" w:bidi="en-US"/>
    </w:rPr>
  </w:style>
  <w:style w:type="paragraph" w:customStyle="1" w:styleId="MDPIfooter">
    <w:name w:val="MDPI_footer"/>
    <w:qFormat/>
    <w:rsid w:val="00FB5D9D"/>
    <w:pPr>
      <w:suppressAutoHyphens/>
      <w:snapToGrid w:val="0"/>
      <w:spacing w:before="120" w:after="0" w:line="260" w:lineRule="atLeast"/>
      <w:jc w:val="center"/>
    </w:pPr>
    <w:rPr>
      <w:rFonts w:ascii="Palatino Linotype" w:eastAsia="Times New Roman" w:hAnsi="Palatino Linotype" w:cs="Times New Roman"/>
      <w:color w:val="000000"/>
      <w:sz w:val="20"/>
      <w:szCs w:val="20"/>
      <w:lang w:eastAsia="de-DE"/>
    </w:rPr>
  </w:style>
  <w:style w:type="paragraph" w:customStyle="1" w:styleId="MDPIfooterfirstpage">
    <w:name w:val="MDPI_footer_firstpage"/>
    <w:qFormat/>
    <w:rsid w:val="00FB5D9D"/>
    <w:pPr>
      <w:tabs>
        <w:tab w:val="right" w:pos="8845"/>
      </w:tabs>
      <w:suppressAutoHyphens/>
      <w:spacing w:after="0" w:line="160" w:lineRule="exact"/>
    </w:pPr>
    <w:rPr>
      <w:rFonts w:ascii="Palatino Linotype" w:eastAsia="Times New Roman" w:hAnsi="Palatino Linotype" w:cs="Times New Roman"/>
      <w:color w:val="000000"/>
      <w:sz w:val="16"/>
      <w:szCs w:val="20"/>
      <w:lang w:eastAsia="de-DE"/>
    </w:rPr>
  </w:style>
  <w:style w:type="paragraph" w:customStyle="1" w:styleId="MDPIheader">
    <w:name w:val="MDPI_header"/>
    <w:qFormat/>
    <w:rsid w:val="00FB5D9D"/>
    <w:pPr>
      <w:suppressAutoHyphens/>
      <w:snapToGrid w:val="0"/>
      <w:spacing w:after="240" w:line="260" w:lineRule="atLeast"/>
      <w:jc w:val="both"/>
    </w:pPr>
    <w:rPr>
      <w:rFonts w:ascii="Palatino Linotype" w:eastAsia="Times New Roman" w:hAnsi="Palatino Linotype" w:cs="Times New Roman"/>
      <w:iCs/>
      <w:color w:val="000000"/>
      <w:sz w:val="16"/>
      <w:szCs w:val="20"/>
      <w:lang w:eastAsia="de-DE"/>
    </w:rPr>
  </w:style>
  <w:style w:type="paragraph" w:customStyle="1" w:styleId="MDPIheadercitation">
    <w:name w:val="MDPI_header_citation"/>
    <w:qFormat/>
    <w:rsid w:val="00FB5D9D"/>
    <w:pPr>
      <w:suppressAutoHyphens/>
      <w:spacing w:after="240" w:line="240" w:lineRule="auto"/>
    </w:pPr>
    <w:rPr>
      <w:rFonts w:ascii="Palatino Linotype" w:eastAsia="Times New Roman" w:hAnsi="Palatino Linotype" w:cs="Times New Roman"/>
      <w:color w:val="000000"/>
      <w:sz w:val="18"/>
      <w:szCs w:val="20"/>
      <w:lang w:eastAsia="de-DE" w:bidi="en-US"/>
    </w:rPr>
  </w:style>
  <w:style w:type="paragraph" w:customStyle="1" w:styleId="MDPIheadermdpilogo">
    <w:name w:val="MDPI_header_mdpi_logo"/>
    <w:qFormat/>
    <w:rsid w:val="00FB5D9D"/>
    <w:pPr>
      <w:suppressAutoHyphens/>
      <w:snapToGrid w:val="0"/>
      <w:spacing w:after="0" w:line="260" w:lineRule="atLeast"/>
      <w:jc w:val="right"/>
    </w:pPr>
    <w:rPr>
      <w:rFonts w:ascii="Palatino Linotype" w:eastAsia="Times New Roman" w:hAnsi="Palatino Linotype" w:cs="Times New Roman"/>
      <w:color w:val="000000"/>
      <w:sz w:val="24"/>
      <w:lang w:eastAsia="de-CH"/>
    </w:rPr>
  </w:style>
  <w:style w:type="paragraph" w:customStyle="1" w:styleId="MDPItext">
    <w:name w:val="MDPI_text"/>
    <w:qFormat/>
    <w:rsid w:val="00FB5D9D"/>
    <w:pPr>
      <w:suppressAutoHyphens/>
      <w:spacing w:after="0" w:line="260" w:lineRule="atLeast"/>
      <w:ind w:left="425" w:right="425" w:firstLine="284"/>
      <w:jc w:val="both"/>
    </w:pPr>
    <w:rPr>
      <w:rFonts w:ascii="Times New Roman" w:eastAsia="Times New Roman" w:hAnsi="Times New Roman" w:cs="Times New Roman"/>
      <w:color w:val="000000"/>
      <w:lang w:eastAsia="de-DE" w:bidi="en-US"/>
    </w:rPr>
  </w:style>
  <w:style w:type="paragraph" w:customStyle="1" w:styleId="MDPItitle">
    <w:name w:val="MDPI_title"/>
    <w:qFormat/>
    <w:rsid w:val="00FB5D9D"/>
    <w:pPr>
      <w:suppressAutoHyphens/>
      <w:snapToGrid w:val="0"/>
      <w:spacing w:after="240" w:line="260" w:lineRule="atLeast"/>
      <w:jc w:val="both"/>
    </w:pPr>
    <w:rPr>
      <w:rFonts w:ascii="Palatino Linotype" w:eastAsia="Times New Roman" w:hAnsi="Palatino Linotype" w:cs="Times New Roman"/>
      <w:b/>
      <w:color w:val="000000"/>
      <w:sz w:val="36"/>
      <w:szCs w:val="20"/>
      <w:lang w:eastAsia="de-DE" w:bidi="en-US"/>
    </w:rPr>
  </w:style>
  <w:style w:type="paragraph" w:styleId="Bibliography">
    <w:name w:val="Bibliography"/>
    <w:basedOn w:val="Normal"/>
    <w:next w:val="Normal"/>
    <w:uiPriority w:val="37"/>
    <w:semiHidden/>
    <w:unhideWhenUsed/>
    <w:qFormat/>
    <w:rsid w:val="00FB5D9D"/>
  </w:style>
  <w:style w:type="paragraph" w:styleId="CommentText">
    <w:name w:val="annotation text"/>
    <w:basedOn w:val="Normal"/>
    <w:link w:val="CommentTextChar"/>
    <w:qFormat/>
    <w:rsid w:val="00FB5D9D"/>
    <w:pPr>
      <w:spacing w:line="260" w:lineRule="atLeast"/>
      <w:jc w:val="both"/>
    </w:pPr>
    <w:rPr>
      <w:rFonts w:ascii="Palatino Linotype" w:eastAsiaTheme="minorHAnsi" w:hAnsi="Palatino Linotype" w:cstheme="minorBidi"/>
      <w:color w:val="000000"/>
      <w:sz w:val="22"/>
      <w:szCs w:val="22"/>
      <w:lang w:eastAsia="en-US"/>
    </w:rPr>
  </w:style>
  <w:style w:type="character" w:customStyle="1" w:styleId="CommentTextChar1">
    <w:name w:val="Comment Text Char1"/>
    <w:basedOn w:val="DefaultParagraphFont"/>
    <w:uiPriority w:val="99"/>
    <w:semiHidden/>
    <w:rsid w:val="00FB5D9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qFormat/>
    <w:rsid w:val="00FB5D9D"/>
    <w:rPr>
      <w:b/>
      <w:bCs/>
    </w:rPr>
  </w:style>
  <w:style w:type="character" w:customStyle="1" w:styleId="CommentSubjectChar1">
    <w:name w:val="Comment Subject Char1"/>
    <w:basedOn w:val="CommentTextChar1"/>
    <w:uiPriority w:val="99"/>
    <w:semiHidden/>
    <w:rsid w:val="00FB5D9D"/>
    <w:rPr>
      <w:rFonts w:ascii="Times New Roman" w:eastAsia="Times New Roman" w:hAnsi="Times New Roman" w:cs="Times New Roman"/>
      <w:b/>
      <w:bCs/>
      <w:sz w:val="20"/>
      <w:szCs w:val="20"/>
      <w:lang w:eastAsia="en-GB"/>
    </w:rPr>
  </w:style>
  <w:style w:type="paragraph" w:styleId="EndnoteText">
    <w:name w:val="endnote text"/>
    <w:basedOn w:val="Normal"/>
    <w:link w:val="EndnoteTextChar"/>
    <w:semiHidden/>
    <w:unhideWhenUsed/>
    <w:rsid w:val="00FB5D9D"/>
    <w:pPr>
      <w:jc w:val="both"/>
    </w:pPr>
    <w:rPr>
      <w:rFonts w:ascii="Palatino Linotype" w:eastAsiaTheme="minorHAnsi" w:hAnsi="Palatino Linotype" w:cstheme="minorBidi"/>
      <w:color w:val="000000"/>
      <w:sz w:val="22"/>
      <w:szCs w:val="22"/>
      <w:lang w:eastAsia="en-US"/>
    </w:rPr>
  </w:style>
  <w:style w:type="character" w:customStyle="1" w:styleId="EndnoteTextChar1">
    <w:name w:val="Endnote Text Char1"/>
    <w:basedOn w:val="DefaultParagraphFont"/>
    <w:uiPriority w:val="99"/>
    <w:semiHidden/>
    <w:rsid w:val="00FB5D9D"/>
    <w:rPr>
      <w:rFonts w:ascii="Times New Roman" w:eastAsia="Times New Roman" w:hAnsi="Times New Roman" w:cs="Times New Roman"/>
      <w:sz w:val="20"/>
      <w:szCs w:val="20"/>
      <w:lang w:eastAsia="en-GB"/>
    </w:rPr>
  </w:style>
  <w:style w:type="paragraph" w:styleId="FootnoteText">
    <w:name w:val="footnote text"/>
    <w:basedOn w:val="Normal"/>
    <w:link w:val="FootnoteTextChar"/>
    <w:semiHidden/>
    <w:unhideWhenUsed/>
    <w:rsid w:val="00FB5D9D"/>
    <w:pPr>
      <w:jc w:val="both"/>
    </w:pPr>
    <w:rPr>
      <w:rFonts w:ascii="Palatino Linotype" w:eastAsiaTheme="minorHAnsi" w:hAnsi="Palatino Linotype" w:cstheme="minorBidi"/>
      <w:color w:val="000000"/>
      <w:sz w:val="22"/>
      <w:szCs w:val="22"/>
      <w:lang w:eastAsia="en-US"/>
    </w:rPr>
  </w:style>
  <w:style w:type="character" w:customStyle="1" w:styleId="FootnoteTextChar1">
    <w:name w:val="Footnote Text Char1"/>
    <w:basedOn w:val="DefaultParagraphFont"/>
    <w:uiPriority w:val="99"/>
    <w:semiHidden/>
    <w:rsid w:val="00FB5D9D"/>
    <w:rPr>
      <w:rFonts w:ascii="Times New Roman" w:eastAsia="Times New Roman" w:hAnsi="Times New Roman" w:cs="Times New Roman"/>
      <w:sz w:val="20"/>
      <w:szCs w:val="20"/>
      <w:lang w:eastAsia="en-GB"/>
    </w:rPr>
  </w:style>
  <w:style w:type="paragraph" w:styleId="NormalWeb">
    <w:name w:val="Normal (Web)"/>
    <w:basedOn w:val="Normal"/>
    <w:uiPriority w:val="99"/>
    <w:qFormat/>
    <w:rsid w:val="00FB5D9D"/>
    <w:pPr>
      <w:spacing w:line="260" w:lineRule="atLeast"/>
      <w:jc w:val="both"/>
    </w:pPr>
    <w:rPr>
      <w:rFonts w:ascii="Palatino Linotype" w:eastAsia="SimSun" w:hAnsi="Palatino Linotype"/>
      <w:color w:val="000000"/>
      <w:sz w:val="20"/>
      <w:lang w:eastAsia="zh-CN"/>
    </w:rPr>
  </w:style>
  <w:style w:type="paragraph" w:customStyle="1" w:styleId="MsoFootnoteText0">
    <w:name w:val="MsoFootnoteText"/>
    <w:basedOn w:val="NormalWeb"/>
    <w:qFormat/>
    <w:rsid w:val="00FB5D9D"/>
    <w:rPr>
      <w:rFonts w:ascii="Times New Roman" w:hAnsi="Times New Roman"/>
    </w:rPr>
  </w:style>
  <w:style w:type="paragraph" w:customStyle="1" w:styleId="MDPI71FootNotes">
    <w:name w:val="MDPI_7.1_FootNotes"/>
    <w:qFormat/>
    <w:rsid w:val="00FB5D9D"/>
    <w:pPr>
      <w:numPr>
        <w:numId w:val="5"/>
      </w:numPr>
      <w:suppressAutoHyphens/>
      <w:snapToGrid w:val="0"/>
      <w:spacing w:after="0" w:line="228" w:lineRule="auto"/>
      <w:jc w:val="both"/>
    </w:pPr>
    <w:rPr>
      <w:rFonts w:ascii="Palatino Linotype" w:eastAsiaTheme="minorEastAsia" w:hAnsi="Palatino Linotype" w:cs="Times New Roman"/>
      <w:color w:val="000000"/>
      <w:sz w:val="18"/>
      <w:szCs w:val="20"/>
      <w:lang w:eastAsia="zh-CN"/>
    </w:rPr>
  </w:style>
  <w:style w:type="paragraph" w:customStyle="1" w:styleId="RSCR02References">
    <w:name w:val="RSC R02 References"/>
    <w:basedOn w:val="Normal"/>
    <w:link w:val="RSCR02ReferencesChar"/>
    <w:qFormat/>
    <w:rsid w:val="00FB5D9D"/>
    <w:pPr>
      <w:numPr>
        <w:numId w:val="7"/>
      </w:numPr>
      <w:spacing w:line="200" w:lineRule="exact"/>
      <w:ind w:left="284" w:hanging="284"/>
      <w:jc w:val="both"/>
    </w:pPr>
    <w:rPr>
      <w:rFonts w:asciiTheme="minorHAnsi" w:eastAsiaTheme="minorHAnsi" w:hAnsiTheme="minorHAnsi" w:cstheme="minorBidi"/>
      <w:w w:val="105"/>
      <w:sz w:val="18"/>
      <w:szCs w:val="18"/>
      <w:lang w:val="en-GB" w:eastAsia="en-US"/>
    </w:rPr>
  </w:style>
  <w:style w:type="paragraph" w:styleId="ListParagraph">
    <w:name w:val="List Paragraph"/>
    <w:basedOn w:val="Normal"/>
    <w:uiPriority w:val="34"/>
    <w:qFormat/>
    <w:rsid w:val="00FB5D9D"/>
    <w:pPr>
      <w:spacing w:line="260" w:lineRule="atLeast"/>
      <w:ind w:left="720"/>
      <w:contextualSpacing/>
      <w:jc w:val="both"/>
    </w:pPr>
    <w:rPr>
      <w:rFonts w:ascii="Palatino Linotype" w:eastAsia="SimSun" w:hAnsi="Palatino Linotype"/>
      <w:color w:val="000000"/>
      <w:sz w:val="20"/>
      <w:szCs w:val="20"/>
      <w:lang w:eastAsia="zh-CN"/>
    </w:rPr>
  </w:style>
  <w:style w:type="paragraph" w:customStyle="1" w:styleId="RSCB02ArticleText">
    <w:name w:val="RSC B02 Article Text"/>
    <w:basedOn w:val="Normal"/>
    <w:link w:val="RSCB02ArticleTextChar"/>
    <w:qFormat/>
    <w:rsid w:val="00FB5D9D"/>
    <w:pPr>
      <w:spacing w:line="240" w:lineRule="exact"/>
      <w:jc w:val="both"/>
    </w:pPr>
    <w:rPr>
      <w:rFonts w:asciiTheme="minorHAnsi" w:eastAsiaTheme="minorHAnsi" w:hAnsiTheme="minorHAnsi" w:cstheme="minorBidi"/>
      <w:w w:val="108"/>
      <w:sz w:val="18"/>
      <w:szCs w:val="18"/>
      <w:lang w:val="en-GB" w:eastAsia="en-US"/>
    </w:rPr>
  </w:style>
  <w:style w:type="paragraph" w:customStyle="1" w:styleId="05BHeading">
    <w:name w:val="05 B Heading"/>
    <w:basedOn w:val="Normal"/>
    <w:link w:val="05BHeadingChar"/>
    <w:qFormat/>
    <w:rsid w:val="00FB5D9D"/>
    <w:pPr>
      <w:spacing w:before="160" w:after="80" w:line="240" w:lineRule="exact"/>
    </w:pPr>
    <w:rPr>
      <w:rFonts w:eastAsiaTheme="minorHAnsi" w:cstheme="minorBidi"/>
      <w:b/>
      <w:sz w:val="18"/>
      <w:szCs w:val="18"/>
      <w:lang w:val="en-GB" w:eastAsia="en-US"/>
    </w:rPr>
  </w:style>
  <w:style w:type="paragraph" w:customStyle="1" w:styleId="RSCB06BHeadingSub-Section">
    <w:name w:val="RSC B06 B Heading (Sub-Section)"/>
    <w:qFormat/>
    <w:rsid w:val="00FB5D9D"/>
    <w:pPr>
      <w:suppressAutoHyphens/>
      <w:spacing w:after="80" w:line="240" w:lineRule="exact"/>
    </w:pPr>
    <w:rPr>
      <w:b/>
      <w:sz w:val="18"/>
      <w:lang w:val="en-GB"/>
    </w:rPr>
  </w:style>
  <w:style w:type="paragraph" w:customStyle="1" w:styleId="TAMainText">
    <w:name w:val="TA_Main_Text"/>
    <w:basedOn w:val="Normal"/>
    <w:autoRedefine/>
    <w:qFormat/>
    <w:rsid w:val="00FB5D9D"/>
    <w:pPr>
      <w:tabs>
        <w:tab w:val="left" w:pos="284"/>
      </w:tabs>
      <w:jc w:val="both"/>
    </w:pPr>
    <w:rPr>
      <w:kern w:val="2"/>
      <w:sz w:val="18"/>
      <w:szCs w:val="16"/>
      <w:lang w:eastAsia="en-US"/>
    </w:rPr>
  </w:style>
  <w:style w:type="paragraph" w:customStyle="1" w:styleId="RSCI03FigureSchemeChartUncaptioned">
    <w:name w:val="RSC I03 Figure/Scheme/Chart Uncaptioned"/>
    <w:basedOn w:val="Normal"/>
    <w:link w:val="RSCI03FigureSchemeChartUncaptionedChar"/>
    <w:qFormat/>
    <w:rsid w:val="00FB5D9D"/>
    <w:pPr>
      <w:spacing w:before="160" w:after="160"/>
      <w:jc w:val="center"/>
    </w:pPr>
    <w:rPr>
      <w:rFonts w:asciiTheme="minorHAnsi" w:eastAsiaTheme="minorHAnsi" w:hAnsiTheme="minorHAnsi" w:cstheme="minorBidi"/>
      <w:sz w:val="16"/>
      <w:szCs w:val="16"/>
      <w:lang w:val="en-GB" w:eastAsia="en-US"/>
    </w:rPr>
  </w:style>
  <w:style w:type="paragraph" w:customStyle="1" w:styleId="RSCI04CaptiontoFigureSchemeChart">
    <w:name w:val="RSC I04 Caption to Figure/Scheme/Chart"/>
    <w:link w:val="RSCI04CaptiontoFigureSchemeChartChar"/>
    <w:qFormat/>
    <w:rsid w:val="00FB5D9D"/>
    <w:pPr>
      <w:suppressAutoHyphens/>
      <w:spacing w:after="200" w:line="200" w:lineRule="exact"/>
      <w:jc w:val="both"/>
    </w:pPr>
    <w:rPr>
      <w:bCs/>
      <w:sz w:val="14"/>
      <w:szCs w:val="18"/>
      <w:lang w:val="en-GB"/>
    </w:rPr>
  </w:style>
  <w:style w:type="paragraph" w:styleId="HTMLPreformatted">
    <w:name w:val="HTML Preformatted"/>
    <w:basedOn w:val="Normal"/>
    <w:link w:val="HTMLPreformattedChar"/>
    <w:uiPriority w:val="99"/>
    <w:semiHidden/>
    <w:unhideWhenUsed/>
    <w:qFormat/>
    <w:rsid w:val="00FB5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2"/>
      <w:szCs w:val="22"/>
    </w:rPr>
  </w:style>
  <w:style w:type="character" w:customStyle="1" w:styleId="HTMLPreformattedChar1">
    <w:name w:val="HTML Preformatted Char1"/>
    <w:basedOn w:val="DefaultParagraphFont"/>
    <w:uiPriority w:val="99"/>
    <w:semiHidden/>
    <w:rsid w:val="00FB5D9D"/>
    <w:rPr>
      <w:rFonts w:ascii="Consolas" w:eastAsia="Times New Roman" w:hAnsi="Consolas" w:cs="Times New Roman"/>
      <w:sz w:val="20"/>
      <w:szCs w:val="20"/>
      <w:lang w:eastAsia="en-GB"/>
    </w:rPr>
  </w:style>
  <w:style w:type="paragraph" w:styleId="Revision">
    <w:name w:val="Revision"/>
    <w:uiPriority w:val="99"/>
    <w:semiHidden/>
    <w:qFormat/>
    <w:rsid w:val="00FB5D9D"/>
    <w:pPr>
      <w:suppressAutoHyphens/>
      <w:spacing w:after="0" w:line="240" w:lineRule="auto"/>
    </w:pPr>
    <w:rPr>
      <w:rFonts w:ascii="Times New Roman" w:eastAsia="Times New Roman" w:hAnsi="Times New Roman" w:cs="Times New Roman"/>
      <w:sz w:val="24"/>
      <w:szCs w:val="24"/>
      <w:lang w:eastAsia="en-GB"/>
    </w:rPr>
  </w:style>
  <w:style w:type="paragraph" w:customStyle="1" w:styleId="RSCT01TableTitlewithtopbar">
    <w:name w:val="RSC T01 Table Title with top bar"/>
    <w:basedOn w:val="Normal"/>
    <w:link w:val="RSCT01TableTitlewithtopbarChar"/>
    <w:qFormat/>
    <w:rsid w:val="00FB5D9D"/>
    <w:pPr>
      <w:keepNext/>
      <w:keepLines/>
      <w:pBdr>
        <w:top w:val="single" w:sz="12" w:space="1" w:color="999999"/>
        <w:bottom w:val="single" w:sz="6" w:space="1" w:color="000000"/>
      </w:pBdr>
      <w:spacing w:before="120" w:after="120" w:line="200" w:lineRule="exact"/>
      <w:jc w:val="both"/>
    </w:pPr>
    <w:rPr>
      <w:rFonts w:cstheme="minorBidi"/>
      <w:sz w:val="14"/>
      <w:szCs w:val="22"/>
    </w:rPr>
  </w:style>
  <w:style w:type="paragraph" w:customStyle="1" w:styleId="RSCI02FigureSchemeChartwithtopbar">
    <w:name w:val="RSC I02 Figure/Scheme/Chart with top bar"/>
    <w:basedOn w:val="Normal"/>
    <w:link w:val="RSCI02FigureSchemeChartwithtopbarChar"/>
    <w:qFormat/>
    <w:rsid w:val="00FB5D9D"/>
    <w:pPr>
      <w:pBdr>
        <w:top w:val="single" w:sz="12" w:space="5" w:color="999999"/>
      </w:pBdr>
      <w:spacing w:before="120" w:after="40"/>
      <w:jc w:val="both"/>
    </w:pPr>
    <w:rPr>
      <w:rFonts w:cstheme="minorBidi"/>
      <w:w w:val="108"/>
      <w:sz w:val="14"/>
      <w:szCs w:val="18"/>
    </w:rPr>
  </w:style>
  <w:style w:type="paragraph" w:customStyle="1" w:styleId="FrameContents">
    <w:name w:val="Frame Contents"/>
    <w:basedOn w:val="Normal"/>
    <w:qFormat/>
    <w:rsid w:val="00FB5D9D"/>
  </w:style>
  <w:style w:type="table" w:customStyle="1" w:styleId="Mdeck5tablebodythreelines">
    <w:name w:val="M_deck_5_table_body_three_lines"/>
    <w:basedOn w:val="TableNormal"/>
    <w:uiPriority w:val="99"/>
    <w:rsid w:val="00FB5D9D"/>
    <w:pPr>
      <w:suppressAutoHyphens/>
      <w:snapToGrid w:val="0"/>
      <w:spacing w:after="0" w:line="300" w:lineRule="exact"/>
      <w:jc w:val="center"/>
    </w:pPr>
    <w:rPr>
      <w:rFonts w:ascii="Calibri" w:eastAsia="SimSun" w:hAnsi="Calibri" w:cs="Times New Roman"/>
      <w:sz w:val="20"/>
      <w:szCs w:val="20"/>
      <w:lang w:val="de-DE" w:eastAsia="de-DE"/>
    </w:rPr>
    <w:tblPr>
      <w:tblBorders>
        <w:bottom w:val="single" w:sz="8" w:space="0" w:color="auto"/>
      </w:tblBorders>
    </w:tblPr>
    <w:tcPr>
      <w:vAlign w:val="center"/>
    </w:tcPr>
    <w:tblStylePr w:type="firstRow">
      <w:pPr>
        <w:wordWrap/>
        <w:snapToGrid w:val="0"/>
        <w:spacing w:beforeLines="0" w:afterLines="0" w:line="300" w:lineRule="exact"/>
        <w:ind w:rightChars="0" w:right="0"/>
        <w:jc w:val="center"/>
      </w:pPr>
      <w:rPr>
        <w:b w:val="0"/>
        <w:i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FB5D9D"/>
    <w:pPr>
      <w:suppressAutoHyphens/>
      <w:spacing w:after="0" w:line="260" w:lineRule="atLeast"/>
      <w:jc w:val="both"/>
    </w:pPr>
    <w:rPr>
      <w:rFonts w:ascii="Calibri" w:eastAsia="SimSun" w:hAnsi="Calibri" w:cs="Times New Roman"/>
      <w:color w:val="000000"/>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DPI41threelinetable">
    <w:name w:val="MDPI_4.1_three_line_table"/>
    <w:basedOn w:val="TableNormal"/>
    <w:uiPriority w:val="99"/>
    <w:rsid w:val="00FB5D9D"/>
    <w:pPr>
      <w:suppressAutoHyphens/>
      <w:snapToGrid w:val="0"/>
      <w:spacing w:after="0" w:line="240" w:lineRule="auto"/>
      <w:jc w:val="center"/>
    </w:pPr>
    <w:rPr>
      <w:rFonts w:ascii="Calibri" w:eastAsia="SimSun" w:hAnsi="Calibri" w:cs="Times New Roman"/>
      <w:color w:val="000000"/>
      <w:sz w:val="20"/>
      <w:szCs w:val="20"/>
      <w:lang w:eastAsia="zh-CN"/>
    </w:rPr>
    <w:tblPr>
      <w:tblBorders>
        <w:top w:val="single" w:sz="8" w:space="0" w:color="auto"/>
        <w:bottom w:val="single" w:sz="8" w:space="0" w:color="auto"/>
      </w:tblBorders>
    </w:tblPr>
    <w:tcPr>
      <w:vAlign w:val="center"/>
    </w:tcPr>
    <w:tblStylePr w:type="firstRow">
      <w:rPr>
        <w:b/>
        <w:i w:val="0"/>
        <w:sz w:val="20"/>
      </w:rPr>
      <w:tblPr/>
      <w:tcPr>
        <w:tcBorders>
          <w:bottom w:val="single" w:sz="4" w:space="0" w:color="auto"/>
        </w:tcBorders>
      </w:tcPr>
    </w:tblStylePr>
  </w:style>
  <w:style w:type="table" w:styleId="PlainTable4">
    <w:name w:val="Plain Table 4"/>
    <w:basedOn w:val="TableNormal"/>
    <w:uiPriority w:val="44"/>
    <w:rsid w:val="00FB5D9D"/>
    <w:pPr>
      <w:suppressAutoHyphens/>
      <w:spacing w:after="0" w:line="240" w:lineRule="auto"/>
    </w:pPr>
    <w:rPr>
      <w:rFonts w:ascii="Calibri" w:eastAsia="SimSun" w:hAnsi="Calibri" w:cs="Times New Roman"/>
      <w:sz w:val="20"/>
      <w:szCs w:val="20"/>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DPITable">
    <w:name w:val="MDPI_Table"/>
    <w:basedOn w:val="TableNormal"/>
    <w:uiPriority w:val="99"/>
    <w:rsid w:val="00FB5D9D"/>
    <w:pPr>
      <w:suppressAutoHyphens/>
      <w:spacing w:after="0" w:line="240" w:lineRule="auto"/>
    </w:pPr>
    <w:rPr>
      <w:rFonts w:ascii="Calibri" w:eastAsia="SimSun" w:hAnsi="Calibri" w:cs="Times New Roman"/>
      <w:color w:val="000000"/>
      <w:sz w:val="20"/>
      <w:szCs w:val="20"/>
      <w:lang w:val="en-CA"/>
    </w:rPr>
    <w:tblPr>
      <w:tblCellMar>
        <w:left w:w="0" w:type="dxa"/>
        <w:right w:w="0" w:type="dxa"/>
      </w:tblCellMar>
    </w:tblPr>
  </w:style>
  <w:style w:type="character" w:customStyle="1" w:styleId="author-xref-symbol">
    <w:name w:val="author-xref-symbol"/>
    <w:basedOn w:val="DefaultParagraphFont"/>
    <w:rsid w:val="00FB5D9D"/>
  </w:style>
  <w:style w:type="character" w:customStyle="1" w:styleId="html-italic">
    <w:name w:val="html-italic"/>
    <w:basedOn w:val="DefaultParagraphFont"/>
    <w:rsid w:val="00FB5D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5700390">
      <w:bodyDiv w:val="1"/>
      <w:marLeft w:val="0"/>
      <w:marRight w:val="0"/>
      <w:marTop w:val="0"/>
      <w:marBottom w:val="0"/>
      <w:divBdr>
        <w:top w:val="none" w:sz="0" w:space="0" w:color="auto"/>
        <w:left w:val="none" w:sz="0" w:space="0" w:color="auto"/>
        <w:bottom w:val="none" w:sz="0" w:space="0" w:color="auto"/>
        <w:right w:val="none" w:sz="0" w:space="0" w:color="auto"/>
      </w:divBdr>
      <w:divsChild>
        <w:div w:id="1130782787">
          <w:marLeft w:val="0"/>
          <w:marRight w:val="0"/>
          <w:marTop w:val="0"/>
          <w:marBottom w:val="0"/>
          <w:divBdr>
            <w:top w:val="none" w:sz="0" w:space="0" w:color="auto"/>
            <w:left w:val="none" w:sz="0" w:space="0" w:color="auto"/>
            <w:bottom w:val="none" w:sz="0" w:space="0" w:color="auto"/>
            <w:right w:val="none" w:sz="0" w:space="0" w:color="auto"/>
          </w:divBdr>
          <w:divsChild>
            <w:div w:id="1076898992">
              <w:marLeft w:val="0"/>
              <w:marRight w:val="0"/>
              <w:marTop w:val="0"/>
              <w:marBottom w:val="0"/>
              <w:divBdr>
                <w:top w:val="none" w:sz="0" w:space="0" w:color="auto"/>
                <w:left w:val="none" w:sz="0" w:space="0" w:color="auto"/>
                <w:bottom w:val="none" w:sz="0" w:space="0" w:color="auto"/>
                <w:right w:val="none" w:sz="0" w:space="0" w:color="auto"/>
              </w:divBdr>
            </w:div>
            <w:div w:id="1940798838">
              <w:marLeft w:val="0"/>
              <w:marRight w:val="0"/>
              <w:marTop w:val="0"/>
              <w:marBottom w:val="0"/>
              <w:divBdr>
                <w:top w:val="none" w:sz="0" w:space="0" w:color="auto"/>
                <w:left w:val="none" w:sz="0" w:space="0" w:color="auto"/>
                <w:bottom w:val="none" w:sz="0" w:space="0" w:color="auto"/>
                <w:right w:val="none" w:sz="0" w:space="0" w:color="auto"/>
              </w:divBdr>
            </w:div>
            <w:div w:id="42798296">
              <w:marLeft w:val="0"/>
              <w:marRight w:val="0"/>
              <w:marTop w:val="0"/>
              <w:marBottom w:val="0"/>
              <w:divBdr>
                <w:top w:val="none" w:sz="0" w:space="0" w:color="auto"/>
                <w:left w:val="none" w:sz="0" w:space="0" w:color="auto"/>
                <w:bottom w:val="none" w:sz="0" w:space="0" w:color="auto"/>
                <w:right w:val="none" w:sz="0" w:space="0" w:color="auto"/>
              </w:divBdr>
            </w:div>
            <w:div w:id="1379476218">
              <w:marLeft w:val="0"/>
              <w:marRight w:val="0"/>
              <w:marTop w:val="0"/>
              <w:marBottom w:val="0"/>
              <w:divBdr>
                <w:top w:val="none" w:sz="0" w:space="0" w:color="auto"/>
                <w:left w:val="none" w:sz="0" w:space="0" w:color="auto"/>
                <w:bottom w:val="none" w:sz="0" w:space="0" w:color="auto"/>
                <w:right w:val="none" w:sz="0" w:space="0" w:color="auto"/>
              </w:divBdr>
            </w:div>
            <w:div w:id="1577013122">
              <w:marLeft w:val="0"/>
              <w:marRight w:val="0"/>
              <w:marTop w:val="0"/>
              <w:marBottom w:val="0"/>
              <w:divBdr>
                <w:top w:val="none" w:sz="0" w:space="0" w:color="auto"/>
                <w:left w:val="none" w:sz="0" w:space="0" w:color="auto"/>
                <w:bottom w:val="none" w:sz="0" w:space="0" w:color="auto"/>
                <w:right w:val="none" w:sz="0" w:space="0" w:color="auto"/>
              </w:divBdr>
            </w:div>
          </w:divsChild>
        </w:div>
        <w:div w:id="1791438676">
          <w:marLeft w:val="0"/>
          <w:marRight w:val="0"/>
          <w:marTop w:val="75"/>
          <w:marBottom w:val="225"/>
          <w:divBdr>
            <w:top w:val="none" w:sz="0" w:space="0" w:color="auto"/>
            <w:left w:val="none" w:sz="0" w:space="0" w:color="auto"/>
            <w:bottom w:val="none" w:sz="0" w:space="0" w:color="auto"/>
            <w:right w:val="none" w:sz="0" w:space="0" w:color="auto"/>
          </w:divBdr>
          <w:divsChild>
            <w:div w:id="1544172103">
              <w:marLeft w:val="0"/>
              <w:marRight w:val="0"/>
              <w:marTop w:val="0"/>
              <w:marBottom w:val="0"/>
              <w:divBdr>
                <w:top w:val="none" w:sz="0" w:space="0" w:color="auto"/>
                <w:left w:val="none" w:sz="0" w:space="0" w:color="auto"/>
                <w:bottom w:val="none" w:sz="0" w:space="0" w:color="auto"/>
                <w:right w:val="none" w:sz="0" w:space="0" w:color="auto"/>
              </w:divBdr>
              <w:divsChild>
                <w:div w:id="1240944530">
                  <w:marLeft w:val="0"/>
                  <w:marRight w:val="0"/>
                  <w:marTop w:val="0"/>
                  <w:marBottom w:val="0"/>
                  <w:divBdr>
                    <w:top w:val="none" w:sz="0" w:space="0" w:color="auto"/>
                    <w:left w:val="none" w:sz="0" w:space="0" w:color="auto"/>
                    <w:bottom w:val="none" w:sz="0" w:space="0" w:color="auto"/>
                    <w:right w:val="none" w:sz="0" w:space="0" w:color="auto"/>
                  </w:divBdr>
                  <w:divsChild>
                    <w:div w:id="212156198">
                      <w:marLeft w:val="0"/>
                      <w:marRight w:val="0"/>
                      <w:marTop w:val="0"/>
                      <w:marBottom w:val="0"/>
                      <w:divBdr>
                        <w:top w:val="none" w:sz="0" w:space="0" w:color="auto"/>
                        <w:left w:val="none" w:sz="0" w:space="0" w:color="auto"/>
                        <w:bottom w:val="none" w:sz="0" w:space="0" w:color="auto"/>
                        <w:right w:val="none" w:sz="0" w:space="0" w:color="auto"/>
                      </w:divBdr>
                    </w:div>
                    <w:div w:id="917206997">
                      <w:marLeft w:val="195"/>
                      <w:marRight w:val="0"/>
                      <w:marTop w:val="0"/>
                      <w:marBottom w:val="0"/>
                      <w:divBdr>
                        <w:top w:val="none" w:sz="0" w:space="0" w:color="auto"/>
                        <w:left w:val="none" w:sz="0" w:space="0" w:color="auto"/>
                        <w:bottom w:val="none" w:sz="0" w:space="0" w:color="auto"/>
                        <w:right w:val="none" w:sz="0" w:space="0" w:color="auto"/>
                      </w:divBdr>
                    </w:div>
                  </w:divsChild>
                </w:div>
                <w:div w:id="981614022">
                  <w:marLeft w:val="0"/>
                  <w:marRight w:val="0"/>
                  <w:marTop w:val="0"/>
                  <w:marBottom w:val="0"/>
                  <w:divBdr>
                    <w:top w:val="none" w:sz="0" w:space="0" w:color="auto"/>
                    <w:left w:val="none" w:sz="0" w:space="0" w:color="auto"/>
                    <w:bottom w:val="none" w:sz="0" w:space="0" w:color="auto"/>
                    <w:right w:val="none" w:sz="0" w:space="0" w:color="auto"/>
                  </w:divBdr>
                  <w:divsChild>
                    <w:div w:id="930312611">
                      <w:marLeft w:val="0"/>
                      <w:marRight w:val="0"/>
                      <w:marTop w:val="0"/>
                      <w:marBottom w:val="0"/>
                      <w:divBdr>
                        <w:top w:val="none" w:sz="0" w:space="0" w:color="auto"/>
                        <w:left w:val="none" w:sz="0" w:space="0" w:color="auto"/>
                        <w:bottom w:val="none" w:sz="0" w:space="0" w:color="auto"/>
                        <w:right w:val="none" w:sz="0" w:space="0" w:color="auto"/>
                      </w:divBdr>
                    </w:div>
                    <w:div w:id="470556178">
                      <w:marLeft w:val="195"/>
                      <w:marRight w:val="0"/>
                      <w:marTop w:val="0"/>
                      <w:marBottom w:val="0"/>
                      <w:divBdr>
                        <w:top w:val="none" w:sz="0" w:space="0" w:color="auto"/>
                        <w:left w:val="none" w:sz="0" w:space="0" w:color="auto"/>
                        <w:bottom w:val="none" w:sz="0" w:space="0" w:color="auto"/>
                        <w:right w:val="none" w:sz="0" w:space="0" w:color="auto"/>
                      </w:divBdr>
                    </w:div>
                  </w:divsChild>
                </w:div>
                <w:div w:id="1390611043">
                  <w:marLeft w:val="0"/>
                  <w:marRight w:val="0"/>
                  <w:marTop w:val="0"/>
                  <w:marBottom w:val="0"/>
                  <w:divBdr>
                    <w:top w:val="none" w:sz="0" w:space="0" w:color="auto"/>
                    <w:left w:val="none" w:sz="0" w:space="0" w:color="auto"/>
                    <w:bottom w:val="none" w:sz="0" w:space="0" w:color="auto"/>
                    <w:right w:val="none" w:sz="0" w:space="0" w:color="auto"/>
                  </w:divBdr>
                  <w:divsChild>
                    <w:div w:id="1899901443">
                      <w:marLeft w:val="0"/>
                      <w:marRight w:val="0"/>
                      <w:marTop w:val="0"/>
                      <w:marBottom w:val="0"/>
                      <w:divBdr>
                        <w:top w:val="none" w:sz="0" w:space="0" w:color="auto"/>
                        <w:left w:val="none" w:sz="0" w:space="0" w:color="auto"/>
                        <w:bottom w:val="none" w:sz="0" w:space="0" w:color="auto"/>
                        <w:right w:val="none" w:sz="0" w:space="0" w:color="auto"/>
                      </w:divBdr>
                    </w:div>
                    <w:div w:id="1030185466">
                      <w:marLeft w:val="195"/>
                      <w:marRight w:val="0"/>
                      <w:marTop w:val="0"/>
                      <w:marBottom w:val="0"/>
                      <w:divBdr>
                        <w:top w:val="none" w:sz="0" w:space="0" w:color="auto"/>
                        <w:left w:val="none" w:sz="0" w:space="0" w:color="auto"/>
                        <w:bottom w:val="none" w:sz="0" w:space="0" w:color="auto"/>
                        <w:right w:val="none" w:sz="0" w:space="0" w:color="auto"/>
                      </w:divBdr>
                    </w:div>
                  </w:divsChild>
                </w:div>
                <w:div w:id="263270049">
                  <w:marLeft w:val="0"/>
                  <w:marRight w:val="0"/>
                  <w:marTop w:val="0"/>
                  <w:marBottom w:val="0"/>
                  <w:divBdr>
                    <w:top w:val="none" w:sz="0" w:space="0" w:color="auto"/>
                    <w:left w:val="none" w:sz="0" w:space="0" w:color="auto"/>
                    <w:bottom w:val="none" w:sz="0" w:space="0" w:color="auto"/>
                    <w:right w:val="none" w:sz="0" w:space="0" w:color="auto"/>
                  </w:divBdr>
                  <w:divsChild>
                    <w:div w:id="358094710">
                      <w:marLeft w:val="0"/>
                      <w:marRight w:val="0"/>
                      <w:marTop w:val="0"/>
                      <w:marBottom w:val="0"/>
                      <w:divBdr>
                        <w:top w:val="none" w:sz="0" w:space="0" w:color="auto"/>
                        <w:left w:val="none" w:sz="0" w:space="0" w:color="auto"/>
                        <w:bottom w:val="none" w:sz="0" w:space="0" w:color="auto"/>
                        <w:right w:val="none" w:sz="0" w:space="0" w:color="auto"/>
                      </w:divBdr>
                    </w:div>
                    <w:div w:id="596982148">
                      <w:marLeft w:val="195"/>
                      <w:marRight w:val="0"/>
                      <w:marTop w:val="0"/>
                      <w:marBottom w:val="0"/>
                      <w:divBdr>
                        <w:top w:val="none" w:sz="0" w:space="0" w:color="auto"/>
                        <w:left w:val="none" w:sz="0" w:space="0" w:color="auto"/>
                        <w:bottom w:val="none" w:sz="0" w:space="0" w:color="auto"/>
                        <w:right w:val="none" w:sz="0" w:space="0" w:color="auto"/>
                      </w:divBdr>
                    </w:div>
                  </w:divsChild>
                </w:div>
                <w:div w:id="1497572063">
                  <w:marLeft w:val="0"/>
                  <w:marRight w:val="0"/>
                  <w:marTop w:val="0"/>
                  <w:marBottom w:val="0"/>
                  <w:divBdr>
                    <w:top w:val="none" w:sz="0" w:space="0" w:color="auto"/>
                    <w:left w:val="none" w:sz="0" w:space="0" w:color="auto"/>
                    <w:bottom w:val="none" w:sz="0" w:space="0" w:color="auto"/>
                    <w:right w:val="none" w:sz="0" w:space="0" w:color="auto"/>
                  </w:divBdr>
                  <w:divsChild>
                    <w:div w:id="1807429405">
                      <w:marLeft w:val="0"/>
                      <w:marRight w:val="0"/>
                      <w:marTop w:val="0"/>
                      <w:marBottom w:val="0"/>
                      <w:divBdr>
                        <w:top w:val="none" w:sz="0" w:space="0" w:color="auto"/>
                        <w:left w:val="none" w:sz="0" w:space="0" w:color="auto"/>
                        <w:bottom w:val="none" w:sz="0" w:space="0" w:color="auto"/>
                        <w:right w:val="none" w:sz="0" w:space="0" w:color="auto"/>
                      </w:divBdr>
                    </w:div>
                    <w:div w:id="301932275">
                      <w:marLeft w:val="195"/>
                      <w:marRight w:val="0"/>
                      <w:marTop w:val="0"/>
                      <w:marBottom w:val="0"/>
                      <w:divBdr>
                        <w:top w:val="none" w:sz="0" w:space="0" w:color="auto"/>
                        <w:left w:val="none" w:sz="0" w:space="0" w:color="auto"/>
                        <w:bottom w:val="none" w:sz="0" w:space="0" w:color="auto"/>
                        <w:right w:val="none" w:sz="0" w:space="0" w:color="auto"/>
                      </w:divBdr>
                    </w:div>
                  </w:divsChild>
                </w:div>
                <w:div w:id="1592424605">
                  <w:marLeft w:val="0"/>
                  <w:marRight w:val="0"/>
                  <w:marTop w:val="0"/>
                  <w:marBottom w:val="0"/>
                  <w:divBdr>
                    <w:top w:val="none" w:sz="0" w:space="0" w:color="auto"/>
                    <w:left w:val="none" w:sz="0" w:space="0" w:color="auto"/>
                    <w:bottom w:val="none" w:sz="0" w:space="0" w:color="auto"/>
                    <w:right w:val="none" w:sz="0" w:space="0" w:color="auto"/>
                  </w:divBdr>
                  <w:divsChild>
                    <w:div w:id="1785341740">
                      <w:marLeft w:val="0"/>
                      <w:marRight w:val="0"/>
                      <w:marTop w:val="0"/>
                      <w:marBottom w:val="0"/>
                      <w:divBdr>
                        <w:top w:val="none" w:sz="0" w:space="0" w:color="auto"/>
                        <w:left w:val="none" w:sz="0" w:space="0" w:color="auto"/>
                        <w:bottom w:val="none" w:sz="0" w:space="0" w:color="auto"/>
                        <w:right w:val="none" w:sz="0" w:space="0" w:color="auto"/>
                      </w:divBdr>
                    </w:div>
                    <w:div w:id="1219172386">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58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pubs.acs.org/action/doSearch?field1=Contrib&amp;text1=Hans-Peter++Steinr%C3%BCck"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silvia.carlotto@unipd.it" TargetMode="External"/><Relationship Id="rId12" Type="http://schemas.openxmlformats.org/officeDocument/2006/relationships/image" Target="media/image4.png"/><Relationship Id="rId17" Type="http://schemas.openxmlformats.org/officeDocument/2006/relationships/hyperlink" Target="https://pubs.acs.org/action/doSearch?field1=Contrib&amp;text1=Andreas++Kretschman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ubs.acs.org/action/doSearch?field1=Contrib&amp;text1=Steven+E.++Ealick"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ubs.acs.org/action/doSearch?field1=Contrib&amp;text1=Michael+G.++Kurilla" TargetMode="External"/><Relationship Id="rId23" Type="http://schemas.openxmlformats.org/officeDocument/2006/relationships/footer" Target="footer2.xml"/><Relationship Id="rId10" Type="http://schemas.openxmlformats.org/officeDocument/2006/relationships/hyperlink" Target="https://en.wikipedia.org/wiki/N,N'-bis(salicylidene)ethylenediamine" TargetMode="External"/><Relationship Id="rId19" Type="http://schemas.openxmlformats.org/officeDocument/2006/relationships/hyperlink" Target="https://pubs.acs.org/action/doSearch?field1=Contrib&amp;text1=J.+Michael++Gottfried"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ubs.acs.org/action/doSearch?field1=Contrib&amp;text1=Ben+T.++Huie"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12311</Words>
  <Characters>70176</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2022-01-12T10:19:00Z</dcterms:created>
  <dcterms:modified xsi:type="dcterms:W3CDTF">2022-01-12T10:25:00Z</dcterms:modified>
</cp:coreProperties>
</file>